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tblStyle w:val="TableGrid"/>
        <w:tblpPr w:leftFromText="180" w:rightFromText="180" w:vertAnchor="page" w:horzAnchor="page" w:tblpX="1312" w:tblpY="2088"/>
        <w:tblOverlap w:val="never"/>
        <w:tblW w:w="95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9590"/>
      </w:tblGrid>
      <w:tr>
        <w:tblPrEx>
          <w:tblW w:w="959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/>
        </w:trPr>
        <w:tc>
          <w:tcPr>
            <w:tcW w:w="959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方正小标宋简体" w:eastAsia="方正小标宋简体" w:hint="eastAsia"/>
                <w:color w:val="FF0000"/>
                <w:spacing w:val="132"/>
                <w:kern w:val="0"/>
                <w:vertAlign w:val="baseline"/>
                <w:lang w:eastAsia="zh-CN"/>
              </w:rPr>
            </w:pPr>
          </w:p>
        </w:tc>
      </w:tr>
      <w:tr>
        <w:tblPrEx>
          <w:tblW w:w="959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/>
        </w:trPr>
        <w:tc>
          <w:tcPr>
            <w:tcW w:w="959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方正小标宋简体" w:eastAsia="方正小标宋简体" w:hint="eastAsia"/>
                <w:color w:val="FF0000"/>
                <w:spacing w:val="132"/>
                <w:kern w:val="0"/>
                <w:vertAlign w:val="baseline"/>
                <w:lang w:eastAsia="zh-CN"/>
              </w:rPr>
            </w:pPr>
            <w:r>
              <w:rPr>
                <w:rFonts w:ascii="方正小标宋简体" w:eastAsia="方正小标宋简体" w:hint="eastAsia"/>
                <w:color w:val="FF0000"/>
                <w:w w:val="80"/>
                <w:kern w:val="0"/>
                <w:sz w:val="84"/>
                <w:szCs w:val="84"/>
              </w:rPr>
              <w:t xml:space="preserve">河源江东新区发展财政局文件</w:t>
            </w:r>
          </w:p>
        </w:tc>
      </w:tr>
      <w:tr>
        <w:tblPrEx>
          <w:tblW w:w="959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/>
        </w:trPr>
        <w:tc>
          <w:tcPr>
            <w:tcW w:w="95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简体" w:eastAsia="方正小标宋简体" w:hint="eastAsia"/>
                <w:color w:val="FF0000"/>
                <w:w w:val="8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 xml:space="preserve">江东财农〔2024〕8号</w:t>
            </w:r>
            <w:bookmarkStart w:id="0" w:name="PO_number_1"/>
            <w:bookmarkEnd w:id="0"/>
            <w:bookmarkStart w:id="1" w:name="PO_number"/>
            <w:bookmarkEnd w:id="1"/>
          </w:p>
        </w:tc>
      </w:tr>
      <w:tr>
        <w:tblPrEx>
          <w:tblW w:w="959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/>
        </w:trPr>
        <w:tc>
          <w:tcPr>
            <w:tcW w:w="959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FF0000"/>
                <w:spacing w:val="13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132"/>
                <w:kern w:val="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939790" cy="31750"/>
                  <wp:effectExtent l="0" t="0" r="3810" b="6350"/>
                  <wp:docPr id="8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3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2" w:name="PO_contents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创艺简标宋" w:eastAsia="创艺简标宋" w:hAnsi="创艺简标宋" w:cs="创艺简标宋" w:hint="eastAsia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ascii="创艺简标宋" w:eastAsia="创艺简标宋" w:hAnsi="创艺简标宋" w:cs="创艺简标宋" w:hint="eastAsia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 xml:space="preserve"> 关于下达2024年中央财政衔接推进乡村振兴补助资金（巩固拓展脱贫攻坚成果和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创艺简标宋" w:eastAsia="创艺简标宋" w:hAnsi="创艺简标宋" w:cs="创艺简标宋" w:hint="eastAsia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ascii="创艺简标宋" w:eastAsia="创艺简标宋" w:hAnsi="创艺简标宋" w:cs="创艺简标宋" w:hint="eastAsia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 xml:space="preserve">乡村振兴任务）的通知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创艺简标宋" w:eastAsia="创艺简标宋" w:hAnsi="创艺简标宋" w:cs="创艺简标宋" w:hint="eastAsia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eastAsia="仿宋_GB2312" w:hAnsi="仿宋_GB2312" w:cs="仿宋_GB2312" w:hint="eastAsia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新区农林水务局（乡村振兴办）：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  <w:t xml:space="preserve">根据市财政局《关于下达2024年中央财政衔接推进乡村振兴补助资金（巩固拓展脱贫攻坚成果和乡村振兴任务）的通知》（河财农〔2024〕12号），现将2024年中央财政衔接推进乡村振兴补助资金（巩固拓展脱贫攻坚成果和乡村振兴任务）53万元下达给你们。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 xml:space="preserve">一、依规列入科目。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  <w:t xml:space="preserve">此项资金支出列2024年“21305巩固脱贫攻坚成果衔接乡村振兴”科目，转移支付功能科目列“2300252农林水共同财政事权转移支付支出”。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 xml:space="preserve">二、管好用好资金。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  <w:t xml:space="preserve">此项资金请按照财政部等6部门印发的《中央财政衔接推进乡村振兴补助资金管理办法》(财农〔2021〕19号)、《关于加强中央财政衔接推进乡村振兴补助资金使用管理的指导意见》(财农〔2022〕14号)及省财政厅等5部门《关于加强中央财政衔接推进乡村振兴补助资金使用管理的实施意见》(粤财农〔2022〕98号)等有关规定管理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 xml:space="preserve">三、落实直达资金管理。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  <w:t xml:space="preserve">此次下达的补助资金列入直达资金管理，资金标识为“01中央直达资金”。在指标管理系统中及时登录有关指标和直达资金标识，导入直达资金监控系统，确保数据真实、账目清晰、流向明确、资金直达基层。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 xml:space="preserve">四、强化绩效管理。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  <w:t xml:space="preserve">请加强财政资金绩效管理，制定项目明细绩效目标，结合绩效目标加强绩效运行监控和绩效评价，确保年度绩效目标如期实现。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仿宋_GB2312" w:eastAsia="仿宋_GB2312" w:hAnsi="仿宋_GB2312" w:cs="仿宋_GB2312" w:hint="eastAsia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仿宋_GB2312" w:eastAsia="仿宋_GB2312" w:hAnsi="仿宋_GB2312" w:cs="仿宋_GB2312" w:hint="eastAsia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80" w:hanging="948" w:leftChars="200" w:hangingChars="300"/>
        <w:jc w:val="both"/>
        <w:textAlignment w:val="auto"/>
        <w:rPr>
          <w:rFonts w:ascii="仿宋_GB2312" w:eastAsia="仿宋_GB2312" w:hAnsi="仿宋_GB2312" w:cs="仿宋_GB2312" w:hint="eastAsia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附件：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  <w:t xml:space="preserve">关于下达2024年中央财政衔接推进乡村振兴补助资</w:t>
      </w:r>
      <w:r>
        <w:rPr>
          <w:rFonts w:ascii="仿宋_GB2312" w:hAnsi="仿宋_GB2312" w:cs="仿宋_GB2312" w:hint="eastAsia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  <w:t xml:space="preserve">金（巩固拓展脱贫攻坚成果和乡村振兴任务）的通知（河财农〔2024〕12号）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" w:eastAsia="仿宋" w:hAnsi="仿宋" w:cs="仿宋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仿宋_GB2312" w:eastAsia="仿宋_GB2312" w:hAnsi="仿宋_GB2312" w:cs="仿宋_GB2312" w:hint="default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234315</wp:posOffset>
            </wp:positionV>
            <wp:extent cx="2877820" cy="1701800"/>
            <wp:effectExtent l="0" t="0" r="18415" b="13335"/>
            <wp:wrapNone/>
            <wp:docPr id="9" name="图片 3" descr="DBSTEP_MARK&#10;FILENAME=8749706109020356991doc&#10;MARKNAME=发展财政局&#10;USERNAME=发展财政局&#10;DATETIME=2020-12-03 16:06:26&#10;MARKGUID={4B5DF14A-0A1C-4A29-8CF3-825F1EE98EB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08" w:firstLineChars="1300"/>
        <w:jc w:val="both"/>
        <w:textAlignment w:val="auto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08" w:firstLineChars="1300"/>
        <w:jc w:val="right"/>
        <w:textAlignment w:val="auto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河源江东新区发展财政局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4" w:firstLineChars="1900"/>
        <w:jc w:val="both"/>
        <w:textAlignment w:val="auto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2024年2月</w:t>
      </w:r>
      <w:r>
        <w:rPr>
          <w:rFonts w:ascii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2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7日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 w:hint="eastAsia"/>
          <w:lang w:val="en-US" w:eastAsia="zh-CN"/>
        </w:rPr>
      </w:pPr>
      <w:bookmarkStart w:id="3" w:name="PO_contents_1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cs="宋体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cs="宋体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cs="宋体"/>
          <w:ker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</w:rPr>
      </w:pPr>
    </w:p>
    <w:p>
      <w:pPr>
        <w:spacing w:line="0" w:lineRule="atLeast"/>
        <w:rPr>
          <w:rFonts w:ascii="黑体" w:eastAsia="黑体"/>
        </w:rPr>
      </w:pPr>
    </w:p>
    <w:p>
      <w:pPr>
        <w:spacing w:line="0" w:lineRule="atLeast"/>
        <w:rPr>
          <w:rFonts w:ascii="黑体" w:eastAsia="黑体"/>
        </w:rPr>
      </w:pPr>
    </w:p>
    <w:p>
      <w:pPr>
        <w:spacing w:line="0" w:lineRule="atLeast"/>
        <w:rPr>
          <w:rFonts w:ascii="黑体" w:eastAsia="黑体"/>
        </w:rPr>
      </w:pPr>
    </w:p>
    <w:p>
      <w:pPr>
        <w:spacing w:line="0" w:lineRule="atLeast"/>
        <w:rPr>
          <w:rFonts w:ascii="黑体" w:eastAsia="黑体"/>
        </w:rPr>
      </w:pPr>
    </w:p>
    <w:p>
      <w:pPr>
        <w:spacing w:line="0" w:lineRule="atLeast"/>
        <w:rPr>
          <w:rFonts w:ascii="黑体" w:eastAsia="黑体"/>
        </w:rPr>
      </w:pPr>
    </w:p>
    <w:p>
      <w:pPr>
        <w:spacing w:line="0" w:lineRule="atLeast"/>
        <w:rPr>
          <w:rFonts w:ascii="黑体" w:eastAsia="黑体"/>
        </w:rPr>
      </w:pPr>
    </w:p>
    <w:p>
      <w:pPr>
        <w:spacing w:line="0" w:lineRule="atLeast"/>
        <w:rPr>
          <w:rFonts w:ascii="黑体" w:eastAsia="黑体"/>
        </w:rPr>
      </w:pPr>
    </w:p>
    <w:p>
      <w:pPr>
        <w:spacing w:line="0" w:lineRule="atLeast"/>
        <w:rPr>
          <w:rFonts w:ascii="黑体" w:eastAsia="黑体"/>
        </w:rPr>
      </w:pPr>
    </w:p>
    <w:p>
      <w:pPr>
        <w:spacing w:line="0" w:lineRule="atLeast"/>
        <w:rPr>
          <w:rFonts w:ascii="黑体" w:eastAsia="黑体"/>
        </w:rPr>
      </w:pPr>
    </w:p>
    <w:p>
      <w:pPr>
        <w:spacing w:line="0" w:lineRule="atLeast"/>
        <w:rPr>
          <w:rFonts w:ascii="黑体" w:eastAsia="黑体"/>
        </w:rPr>
      </w:pPr>
    </w:p>
    <w:p>
      <w:pPr>
        <w:spacing w:line="0" w:lineRule="atLeast"/>
        <w:rPr>
          <w:rFonts w:ascii="黑体" w:eastAsia="黑体"/>
        </w:rPr>
      </w:pPr>
    </w:p>
    <w:p>
      <w:pPr>
        <w:spacing w:line="0" w:lineRule="atLeast"/>
        <w:rPr>
          <w:rFonts w:ascii="黑体" w:eastAsia="黑体"/>
        </w:rPr>
      </w:pPr>
    </w:p>
    <w:p>
      <w:pPr>
        <w:spacing w:line="0" w:lineRule="atLeast"/>
        <w:rPr>
          <w:rFonts w:ascii="黑体" w:eastAsia="黑体"/>
        </w:rPr>
      </w:pPr>
    </w:p>
    <w:p>
      <w:pPr>
        <w:spacing w:line="0" w:lineRule="atLeast"/>
        <w:rPr>
          <w:rFonts w:ascii="黑体" w:eastAsia="黑体" w:hint="default"/>
          <w:u w:val="single"/>
          <w:lang w:val="en-US" w:eastAsia="zh-CN"/>
        </w:rPr>
      </w:pPr>
      <w:r>
        <w:rPr>
          <w:rFonts w:ascii="黑体" w:eastAsia="黑体" w:hint="eastAsia"/>
          <w:u w:val="single"/>
          <w:lang w:val="en-US" w:eastAsia="zh-CN"/>
        </w:rPr>
        <w:t xml:space="preserve">                                                        </w:t>
      </w:r>
    </w:p>
    <w:p>
      <w:pPr>
        <w:pBdr>
          <w:bottom w:val="single" w:sz="6" w:space="1" w:color="auto"/>
          <w:between w:val="single" w:sz="6" w:space="1" w:color="auto"/>
        </w:pBdr>
        <w:spacing w:line="0" w:lineRule="atLeast"/>
        <w:ind w:firstLine="216" w:firstLineChars="100"/>
      </w:pPr>
      <w:r>
        <w:rPr>
          <w:rFonts w:ascii="仿宋_GB2312" w:hint="eastAsia"/>
          <w:spacing w:val="-30"/>
          <w:sz w:val="28"/>
          <w:szCs w:val="28"/>
        </w:rPr>
        <w:t xml:space="preserve">河源江东新区发展财政局  </w:t>
      </w:r>
      <w:r>
        <w:rPr>
          <w:rFonts w:ascii="仿宋_GB2312"/>
          <w:spacing w:val="-30"/>
          <w:sz w:val="28"/>
          <w:szCs w:val="28"/>
        </w:rPr>
        <w:t xml:space="preserve">   </w:t>
      </w:r>
      <w:r>
        <w:rPr>
          <w:rFonts w:ascii="仿宋_GB2312" w:hint="eastAsia"/>
          <w:spacing w:val="-30"/>
          <w:sz w:val="28"/>
          <w:szCs w:val="28"/>
        </w:rPr>
        <w:t xml:space="preserve">    </w:t>
      </w:r>
      <w:r>
        <w:rPr>
          <w:rFonts w:ascii="仿宋_GB2312" w:hint="eastAsia"/>
          <w:spacing w:val="-30"/>
          <w:sz w:val="28"/>
          <w:szCs w:val="28"/>
          <w:lang w:val="en-US" w:eastAsia="zh-CN"/>
        </w:rPr>
        <w:t xml:space="preserve">                                      </w:t>
      </w:r>
      <w:bookmarkStart w:id="4" w:name="_GoBack"/>
      <w:bookmarkEnd w:id="4"/>
      <w:r>
        <w:rPr>
          <w:rFonts w:ascii="仿宋_GB2312" w:hint="eastAsia"/>
          <w:spacing w:val="-30"/>
          <w:sz w:val="28"/>
          <w:szCs w:val="28"/>
          <w:lang w:val="en-US" w:eastAsia="zh-CN"/>
        </w:rPr>
        <w:t xml:space="preserve">2024年2月27日</w:t>
      </w:r>
      <w:r>
        <w:rPr>
          <w:rFonts w:ascii="仿宋_GB2312" w:hint="eastAsia"/>
          <w:spacing w:val="-30"/>
          <w:sz w:val="28"/>
          <w:szCs w:val="28"/>
        </w:rPr>
        <w:t xml:space="preserve">印发  </w:t>
      </w:r>
    </w:p>
    <w:sectPr>
      <w:pgSz w:w="11906" w:h="16838" w:orient="portrait"/>
      <w:pgMar w:top="2098" w:right="1474" w:bottom="1984" w:left="1588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num="1" w:space="720">
        <w:col w:w="8844" w:space="720"/>
      </w:cols>
      <w:docGrid w:type="linesAndChars" w:linePitch="662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SystemFonts/>
  <w:bordersDoNotSurroundFooter/>
  <w:bordersDoNotSurroundHeader/>
  <w:revisionView w:comments="1" w:formatting="1" w:inkAnnotations="1" w:insDel="1" w:markup="0"/>
  <w:doNotTrackMoves/>
  <w:documentProtection w:edit="readOnly" w:enforcement="1" w:cryptProviderType="rsaFull" w:cryptAlgorithmClass="hash" w:cryptAlgorithmType="typeAny" w:cryptAlgorithmSid="4" w:cryptSpinCount="0" w:hash="sse6aakAFAcF/vqT8/Huc47N+Zo=" w:salt="I6s/qwlpVLCweNyvJgLtC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jQ5NjNiMDQ3MDg4NzNiZGUzYzk5MGYwMTg4ZTM4MTk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pBdr>
        <w:top w:val="single" w:sz="6" w:space="1" w:color="auto"/>
        <w:bottom w:val="single" w:sz="6" w:space="1" w:color="auto"/>
      </w:pBdr>
    </w:pPr>
    <w:rPr>
      <w:rFonts w:ascii="仿宋_GB2312" w:hAnsi="宋体"/>
      <w:snapToGrid w:val="0"/>
      <w:kern w:val="0"/>
      <w:position w:val="-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"/>
    <w:qFormat/>
    <w:pPr>
      <w:ind w:firstLine="420" w:firstLineChars="200"/>
    </w:pPr>
    <w:rPr>
      <w:rFonts w:ascii="Calibri" w:eastAsia="宋体" w:hAnsi="Calibri" w:asciiTheme="minorHAnsi" w:eastAsiaTheme="minorEastAsia" w:hAnsiTheme="minorHAnsi" w:cs="Arial" w:cstheme="minorBidi"/>
      <w:sz w:val="21"/>
      <w:szCs w:val="24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2023-09-21T01:01:00Z</dcterms:created>
  <dc:creator>Administrator</dc:creator>
  <cp:lastModifiedBy>新区发展财政局</cp:lastModifiedBy>
  <cp:lastPrinted>2022-11-18T07:06:00Z</cp:lastPrinted>
  <dcterms:modified xsi:type="dcterms:W3CDTF">2024-02-28T07:02:46Z</dcterms:modified>
  <dc:title>河源江东新区发展财政局文件</dc:title>
  <cp:revision>2</cp:revision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707</Characters>
  <Lines>0</Lines>
  <Paragraphs>0</Paragraphs>
  <TotalTime>2</TotalTime>
  <ScaleCrop>false</ScaleCrop>
  <LinksUpToDate>false</LinksUpToDate>
  <CharactersWithSpaces>708</CharactersWithSpaces>
  <Application>WPS Office_11.8.2.11813_F1E327BC-269C-435d-A152-05C5408002CA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0A95238D33DB42169369CA27961C5F66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2</Pages>
  <Words>654</Words>
  <Characters>707</Characters>
  <Application>WPS Office_11.8.2.11813_F1E327BC-269C-435d-A152-05C5408002CA</Application>
  <DocSecurity>0</DocSecurity>
  <Lines>0</Lines>
  <Paragraphs>0</Paragraphs>
  <CharactersWithSpaces>708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河源江东新区发展财政局文件</dc:title>
  <dc:creator>Administrator</dc:creator>
  <cp:lastModifiedBy>新区发展财政局</cp:lastModifiedBy>
  <cp:revision>2</cp:revision>
  <cp:lastPrinted>2022-11-18T07:06:00Z</cp:lastPrinted>
  <dcterms:created xsi:type="dcterms:W3CDTF">2023-09-21T01:01:00Z</dcterms:created>
  <dcterms:modified xsi:type="dcterms:W3CDTF">2024-02-28T07:03:32Z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2052-11.8.2.11813</vt:lpstr>
  </property>
  <property fmtid="{D5CDD505-2E9C-101B-9397-08002B2CF9AE}" pid="3" name="ICV">
    <vt:lpstr>0A95238D33DB42169369CA27961C5F66</vt:lpstr>
  </property>
</Properties>
</file>