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方正小标宋_GBK" w:cs="方正小标宋_GBK"/>
          <w:sz w:val="44"/>
          <w:szCs w:val="44"/>
        </w:rPr>
      </w:pPr>
      <w:bookmarkStart w:id="288" w:name="_GoBack"/>
      <w:bookmarkEnd w:id="288"/>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河源江东新区国民经济和社会发展第十四个</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五年规划和二〇三五年远景目标纲要</w:t>
      </w:r>
    </w:p>
    <w:p>
      <w:pPr>
        <w:pStyle w:val="2"/>
        <w:ind w:left="0" w:leftChars="0" w:firstLine="0" w:firstLineChars="0"/>
        <w:rPr>
          <w:rFonts w:ascii="Times New Roman" w:hAnsi="Times New Roman" w:eastAsia="方正楷体_GBK" w:cs="方正楷体_GBK"/>
          <w:sz w:val="32"/>
          <w:szCs w:val="32"/>
        </w:rPr>
      </w:pPr>
    </w:p>
    <w:p>
      <w:pPr>
        <w:pStyle w:val="2"/>
        <w:ind w:left="0" w:leftChars="0" w:firstLine="0" w:firstLineChars="0"/>
        <w:jc w:val="center"/>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（2021年4月9日江东新区2021年</w:t>
      </w:r>
    </w:p>
    <w:p>
      <w:pPr>
        <w:pStyle w:val="2"/>
        <w:ind w:left="0" w:leftChars="0" w:firstLine="0" w:firstLineChars="0"/>
        <w:jc w:val="center"/>
        <w:rPr>
          <w:rFonts w:ascii="Times New Roman" w:hAnsi="Times New Roman" w:eastAsia="方正楷体_GBK" w:cs="方正楷体_GBK"/>
          <w:sz w:val="32"/>
          <w:szCs w:val="32"/>
        </w:rPr>
        <w:sectPr>
          <w:footerReference r:id="rId3" w:type="default"/>
          <w:footerReference r:id="rId4" w:type="even"/>
          <w:pgSz w:w="11906" w:h="16838"/>
          <w:pgMar w:top="1531" w:right="1531" w:bottom="2098" w:left="1531" w:header="851" w:footer="992" w:gutter="0"/>
          <w:pgNumType w:start="1"/>
          <w:cols w:space="425" w:num="1"/>
          <w:docGrid w:type="lines" w:linePitch="312" w:charSpace="0"/>
        </w:sectPr>
      </w:pPr>
      <w:r>
        <w:rPr>
          <w:rFonts w:hint="eastAsia" w:ascii="Times New Roman" w:hAnsi="Times New Roman" w:eastAsia="方正楷体_GBK" w:cs="方正楷体_GBK"/>
          <w:sz w:val="32"/>
          <w:szCs w:val="32"/>
        </w:rPr>
        <w:t>第12次党委会议审议批准）</w:t>
      </w:r>
    </w:p>
    <w:p>
      <w:pPr>
        <w:adjustRightInd w:val="0"/>
        <w:snapToGrid w:val="0"/>
        <w:spacing w:line="600" w:lineRule="exact"/>
        <w:ind w:firstLine="720" w:firstLineChars="200"/>
        <w:jc w:val="center"/>
        <w:rPr>
          <w:rFonts w:ascii="Times New Roman" w:hAnsi="Times New Roman" w:eastAsia="方正黑体_GBK" w:cs="Times New Roman"/>
          <w:sz w:val="36"/>
          <w:szCs w:val="36"/>
          <w:lang w:val="zh-CN"/>
        </w:rPr>
      </w:pPr>
      <w:r>
        <w:rPr>
          <w:rFonts w:hint="eastAsia" w:ascii="Times New Roman" w:hAnsi="Times New Roman" w:eastAsia="方正黑体_GBK" w:cs="Times New Roman"/>
          <w:sz w:val="36"/>
          <w:szCs w:val="36"/>
          <w:lang w:val="zh-CN"/>
        </w:rPr>
        <w:t>目</w:t>
      </w:r>
      <w:r>
        <w:rPr>
          <w:rFonts w:hint="eastAsia" w:ascii="Times New Roman" w:hAnsi="Times New Roman" w:eastAsia="方正黑体_GBK" w:cs="Times New Roman"/>
          <w:sz w:val="36"/>
          <w:szCs w:val="36"/>
        </w:rPr>
        <w:t xml:space="preserve"> </w:t>
      </w:r>
      <w:r>
        <w:rPr>
          <w:rFonts w:hint="eastAsia" w:ascii="Times New Roman" w:hAnsi="Times New Roman" w:eastAsia="方正黑体_GBK" w:cs="Times New Roman"/>
          <w:sz w:val="36"/>
          <w:szCs w:val="36"/>
          <w:lang w:val="zh-CN"/>
        </w:rPr>
        <w:t xml:space="preserve"> 录</w:t>
      </w:r>
    </w:p>
    <w:p>
      <w:pPr>
        <w:pStyle w:val="2"/>
      </w:pPr>
    </w:p>
    <w:p>
      <w:pPr>
        <w:tabs>
          <w:tab w:val="right" w:leader="dot" w:pos="8948"/>
        </w:tabs>
        <w:adjustRightInd w:val="0"/>
        <w:snapToGrid w:val="0"/>
        <w:spacing w:line="600" w:lineRule="exact"/>
        <w:ind w:firstLine="560" w:firstLineChars="200"/>
        <w:rPr>
          <w:rFonts w:ascii="Times New Roman" w:hAnsi="Times New Roman" w:eastAsia="等线" w:cs="Times New Roman"/>
          <w:sz w:val="28"/>
          <w:szCs w:val="28"/>
        </w:rPr>
      </w:pPr>
      <w:r>
        <w:rPr>
          <w:rFonts w:ascii="Times New Roman" w:hAnsi="Times New Roman" w:eastAsia="楷体" w:cs="Times New Roman"/>
          <w:sz w:val="28"/>
          <w:szCs w:val="28"/>
        </w:rPr>
        <w:fldChar w:fldCharType="begin"/>
      </w:r>
      <w:r>
        <w:rPr>
          <w:rFonts w:ascii="Times New Roman" w:hAnsi="Times New Roman" w:eastAsia="楷体" w:cs="Times New Roman"/>
          <w:sz w:val="28"/>
          <w:szCs w:val="28"/>
        </w:rPr>
        <w:instrText xml:space="preserve"> TOC \o "1-3" \h \z \u </w:instrText>
      </w:r>
      <w:r>
        <w:rPr>
          <w:rFonts w:ascii="Times New Roman" w:hAnsi="Times New Roman" w:eastAsia="楷体" w:cs="Times New Roman"/>
          <w:sz w:val="28"/>
          <w:szCs w:val="28"/>
        </w:rPr>
        <w:fldChar w:fldCharType="separate"/>
      </w:r>
      <w:r>
        <w:fldChar w:fldCharType="begin"/>
      </w:r>
      <w:r>
        <w:instrText xml:space="preserve"> HYPERLINK \l "_Toc67502314" </w:instrText>
      </w:r>
      <w:r>
        <w:fldChar w:fldCharType="separate"/>
      </w:r>
      <w:r>
        <w:rPr>
          <w:rStyle w:val="12"/>
          <w:rFonts w:ascii="Times New Roman" w:hAnsi="Times New Roman" w:eastAsia="方正黑体_GBK" w:cs="Times New Roman"/>
          <w:color w:val="auto"/>
          <w:kern w:val="44"/>
          <w:sz w:val="28"/>
          <w:szCs w:val="28"/>
          <w:lang w:val="zh-CN"/>
        </w:rPr>
        <w:t>第一章 发展基础与发展环境</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_Toc67502314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"_Toc67502315" </w:instrText>
      </w:r>
      <w:r>
        <w:fldChar w:fldCharType="separate"/>
      </w:r>
      <w:r>
        <w:rPr>
          <w:rStyle w:val="12"/>
          <w:rFonts w:ascii="Times New Roman" w:hAnsi="Times New Roman" w:eastAsia="方正楷体_GBK" w:cs="Times New Roman"/>
          <w:color w:val="auto"/>
          <w:kern w:val="0"/>
          <w:sz w:val="28"/>
          <w:szCs w:val="28"/>
        </w:rPr>
        <w:t>第一节 发展基础</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_Toc67502315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- 2 -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"_Toc67502316" </w:instrText>
      </w:r>
      <w:r>
        <w:fldChar w:fldCharType="separate"/>
      </w:r>
      <w:r>
        <w:rPr>
          <w:rStyle w:val="12"/>
          <w:rFonts w:ascii="Times New Roman" w:hAnsi="Times New Roman" w:eastAsia="方正楷体_GBK" w:cs="Times New Roman"/>
          <w:color w:val="auto"/>
          <w:kern w:val="0"/>
          <w:sz w:val="28"/>
          <w:szCs w:val="28"/>
        </w:rPr>
        <w:t>第二节 发展环境</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_Toc67502316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- 11 -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firstLine="420" w:firstLineChars="200"/>
        <w:rPr>
          <w:rFonts w:ascii="Times New Roman" w:hAnsi="Times New Roman" w:eastAsia="等线" w:cs="Times New Roman"/>
          <w:sz w:val="28"/>
          <w:szCs w:val="28"/>
        </w:rPr>
      </w:pPr>
      <w:r>
        <w:fldChar w:fldCharType="begin"/>
      </w:r>
      <w:r>
        <w:instrText xml:space="preserve"> HYPERLINK \l "_Toc67502317" </w:instrText>
      </w:r>
      <w:r>
        <w:fldChar w:fldCharType="separate"/>
      </w:r>
      <w:r>
        <w:rPr>
          <w:rStyle w:val="12"/>
          <w:rFonts w:ascii="Times New Roman" w:hAnsi="Times New Roman" w:eastAsia="方正黑体_GBK" w:cs="Times New Roman"/>
          <w:color w:val="auto"/>
          <w:kern w:val="44"/>
          <w:sz w:val="28"/>
          <w:szCs w:val="28"/>
          <w:lang w:val="zh-CN"/>
        </w:rPr>
        <w:t>第二章 总体要求和发展目标</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_Toc67502317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- 15 -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"_Toc67502318" </w:instrText>
      </w:r>
      <w:r>
        <w:fldChar w:fldCharType="separate"/>
      </w:r>
      <w:r>
        <w:rPr>
          <w:rStyle w:val="12"/>
          <w:rFonts w:ascii="Times New Roman" w:hAnsi="Times New Roman" w:eastAsia="方正楷体_GBK" w:cs="Times New Roman"/>
          <w:color w:val="auto"/>
          <w:kern w:val="0"/>
          <w:sz w:val="28"/>
          <w:szCs w:val="28"/>
        </w:rPr>
        <w:t>第一节 指导思想</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_Toc67502318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- 16 -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"_Toc67502319" </w:instrText>
      </w:r>
      <w:r>
        <w:fldChar w:fldCharType="separate"/>
      </w:r>
      <w:r>
        <w:rPr>
          <w:rStyle w:val="12"/>
          <w:rFonts w:ascii="Times New Roman" w:hAnsi="Times New Roman" w:eastAsia="方正楷体_GBK" w:cs="Times New Roman"/>
          <w:color w:val="auto"/>
          <w:kern w:val="0"/>
          <w:sz w:val="28"/>
          <w:szCs w:val="28"/>
        </w:rPr>
        <w:t>第二节 发展原则</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_Toc67502319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- 16 -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"_Toc67502320" </w:instrText>
      </w:r>
      <w:r>
        <w:fldChar w:fldCharType="separate"/>
      </w:r>
      <w:r>
        <w:rPr>
          <w:rStyle w:val="12"/>
          <w:rFonts w:ascii="Times New Roman" w:hAnsi="Times New Roman" w:eastAsia="方正楷体_GBK" w:cs="Times New Roman"/>
          <w:color w:val="auto"/>
          <w:kern w:val="0"/>
          <w:sz w:val="28"/>
          <w:szCs w:val="28"/>
        </w:rPr>
        <w:t>第三节 发展目标</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_Toc67502320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- 18 -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firstLine="420" w:firstLineChars="200"/>
        <w:rPr>
          <w:rFonts w:ascii="Times New Roman" w:hAnsi="Times New Roman" w:eastAsia="等线" w:cs="Times New Roman"/>
          <w:sz w:val="28"/>
          <w:szCs w:val="28"/>
        </w:rPr>
      </w:pPr>
      <w:r>
        <w:fldChar w:fldCharType="begin"/>
      </w:r>
      <w:r>
        <w:instrText xml:space="preserve"> HYPERLINK \l "_Toc67502321" </w:instrText>
      </w:r>
      <w:r>
        <w:fldChar w:fldCharType="separate"/>
      </w:r>
      <w:r>
        <w:rPr>
          <w:rStyle w:val="12"/>
          <w:rFonts w:ascii="Times New Roman" w:hAnsi="Times New Roman" w:eastAsia="方正黑体_GBK" w:cs="Times New Roman"/>
          <w:color w:val="auto"/>
          <w:kern w:val="44"/>
          <w:sz w:val="28"/>
          <w:szCs w:val="28"/>
          <w:lang w:val="zh-CN"/>
        </w:rPr>
        <w:t>第三章 大力发展都市经济，打造城市功能平台</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_Toc67502321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- 22 -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"_Toc67502322" </w:instrText>
      </w:r>
      <w:r>
        <w:fldChar w:fldCharType="separate"/>
      </w:r>
      <w:r>
        <w:rPr>
          <w:rStyle w:val="12"/>
          <w:rFonts w:ascii="Times New Roman" w:hAnsi="Times New Roman" w:eastAsia="方正楷体_GBK" w:cs="Times New Roman"/>
          <w:color w:val="auto"/>
          <w:kern w:val="0"/>
          <w:sz w:val="28"/>
          <w:szCs w:val="28"/>
        </w:rPr>
        <w:t>第一节 高标准建设高铁新城</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_Toc67502322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- 22 -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"_Toc67502323" </w:instrText>
      </w:r>
      <w:r>
        <w:fldChar w:fldCharType="separate"/>
      </w:r>
      <w:r>
        <w:rPr>
          <w:rStyle w:val="12"/>
          <w:rFonts w:ascii="Times New Roman" w:hAnsi="Times New Roman" w:eastAsia="方正楷体_GBK" w:cs="Times New Roman"/>
          <w:color w:val="auto"/>
          <w:kern w:val="0"/>
          <w:sz w:val="28"/>
          <w:szCs w:val="28"/>
        </w:rPr>
        <w:t>第二节 高标准建设科技产业新城</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_Toc67502323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- 24 -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"_Toc67502324" </w:instrText>
      </w:r>
      <w:r>
        <w:fldChar w:fldCharType="separate"/>
      </w:r>
      <w:r>
        <w:rPr>
          <w:rStyle w:val="12"/>
          <w:rFonts w:ascii="Times New Roman" w:hAnsi="Times New Roman" w:eastAsia="方正楷体_GBK" w:cs="Times New Roman"/>
          <w:color w:val="auto"/>
          <w:kern w:val="0"/>
          <w:sz w:val="28"/>
          <w:szCs w:val="28"/>
        </w:rPr>
        <w:t>第三节 高标准建设滨江新城</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_Toc67502324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- 27 -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"_Toc67502325" </w:instrText>
      </w:r>
      <w:r>
        <w:fldChar w:fldCharType="separate"/>
      </w:r>
      <w:r>
        <w:rPr>
          <w:rStyle w:val="12"/>
          <w:rFonts w:ascii="Times New Roman" w:hAnsi="Times New Roman" w:eastAsia="方正楷体_GBK" w:cs="Times New Roman"/>
          <w:color w:val="auto"/>
          <w:kern w:val="0"/>
          <w:sz w:val="28"/>
          <w:szCs w:val="28"/>
        </w:rPr>
        <w:t>第四节 高标准建设古竹新城</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_Toc67502325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- 28 -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firstLine="420" w:firstLineChars="200"/>
        <w:rPr>
          <w:rFonts w:ascii="Times New Roman" w:hAnsi="Times New Roman" w:eastAsia="等线" w:cs="Times New Roman"/>
          <w:sz w:val="28"/>
          <w:szCs w:val="28"/>
        </w:rPr>
      </w:pPr>
      <w:r>
        <w:fldChar w:fldCharType="begin"/>
      </w:r>
      <w:r>
        <w:instrText xml:space="preserve"> HYPERLINK \l "_Toc67502326" </w:instrText>
      </w:r>
      <w:r>
        <w:fldChar w:fldCharType="separate"/>
      </w:r>
      <w:r>
        <w:rPr>
          <w:rStyle w:val="12"/>
          <w:rFonts w:ascii="Times New Roman" w:hAnsi="Times New Roman" w:eastAsia="方正黑体_GBK" w:cs="Times New Roman"/>
          <w:color w:val="auto"/>
          <w:kern w:val="44"/>
          <w:sz w:val="28"/>
          <w:szCs w:val="28"/>
          <w:lang w:val="zh-CN"/>
        </w:rPr>
        <w:t>第四章 构建现代产业体系，打造发展支撑平台</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_Toc67502326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- 32 -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"_Toc67502327" </w:instrText>
      </w:r>
      <w:r>
        <w:fldChar w:fldCharType="separate"/>
      </w:r>
      <w:r>
        <w:rPr>
          <w:rStyle w:val="12"/>
          <w:rFonts w:ascii="Times New Roman" w:hAnsi="Times New Roman" w:eastAsia="方正楷体_GBK" w:cs="Times New Roman"/>
          <w:color w:val="auto"/>
          <w:kern w:val="0"/>
          <w:sz w:val="28"/>
          <w:szCs w:val="28"/>
        </w:rPr>
        <w:t>第一节 培育发展战略性新兴产业</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_Toc67502327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- 32 -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"_Toc67502328" </w:instrText>
      </w:r>
      <w:r>
        <w:fldChar w:fldCharType="separate"/>
      </w:r>
      <w:r>
        <w:rPr>
          <w:rStyle w:val="12"/>
          <w:rFonts w:ascii="Times New Roman" w:hAnsi="Times New Roman" w:eastAsia="方正楷体_GBK" w:cs="Times New Roman"/>
          <w:color w:val="auto"/>
          <w:kern w:val="0"/>
          <w:sz w:val="28"/>
          <w:szCs w:val="28"/>
        </w:rPr>
        <w:t>第二节 大力发展高端现代服务业</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_Toc67502328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- 34 -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"_Toc67502329" </w:instrText>
      </w:r>
      <w:r>
        <w:fldChar w:fldCharType="separate"/>
      </w:r>
      <w:r>
        <w:rPr>
          <w:rStyle w:val="12"/>
          <w:rFonts w:ascii="Times New Roman" w:hAnsi="Times New Roman" w:eastAsia="方正楷体_GBK" w:cs="Times New Roman"/>
          <w:color w:val="auto"/>
          <w:kern w:val="0"/>
          <w:sz w:val="28"/>
          <w:szCs w:val="28"/>
        </w:rPr>
        <w:t>第三节 统筹推进产业基础高级化和产业链现代化</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_Toc67502329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- 38 -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"_Toc67502330" </w:instrText>
      </w:r>
      <w:r>
        <w:fldChar w:fldCharType="separate"/>
      </w:r>
      <w:r>
        <w:rPr>
          <w:rStyle w:val="12"/>
          <w:rFonts w:ascii="Times New Roman" w:hAnsi="Times New Roman" w:eastAsia="方正楷体_GBK" w:cs="Times New Roman"/>
          <w:color w:val="auto"/>
          <w:kern w:val="0"/>
          <w:sz w:val="28"/>
          <w:szCs w:val="28"/>
        </w:rPr>
        <w:t>第四节 着力构建现代招商体系</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_Toc67502330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- 39 -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firstLine="420" w:firstLineChars="200"/>
        <w:rPr>
          <w:rFonts w:ascii="Times New Roman" w:hAnsi="Times New Roman" w:eastAsia="等线" w:cs="Times New Roman"/>
          <w:sz w:val="28"/>
          <w:szCs w:val="28"/>
        </w:rPr>
      </w:pPr>
      <w:r>
        <w:fldChar w:fldCharType="begin"/>
      </w:r>
      <w:r>
        <w:instrText xml:space="preserve"> HYPERLINK \l "_Toc67502331" </w:instrText>
      </w:r>
      <w:r>
        <w:fldChar w:fldCharType="separate"/>
      </w:r>
      <w:r>
        <w:rPr>
          <w:rStyle w:val="12"/>
          <w:rFonts w:ascii="Times New Roman" w:hAnsi="Times New Roman" w:eastAsia="方正黑体_GBK" w:cs="Times New Roman"/>
          <w:color w:val="auto"/>
          <w:kern w:val="44"/>
          <w:sz w:val="28"/>
          <w:szCs w:val="28"/>
          <w:lang w:val="zh-CN"/>
        </w:rPr>
        <w:t>第五章 全域“融湾”“融深”，打造开放合作平台</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_Toc67502331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- 41 -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"_Toc67502332" </w:instrText>
      </w:r>
      <w:r>
        <w:fldChar w:fldCharType="separate"/>
      </w:r>
      <w:r>
        <w:rPr>
          <w:rStyle w:val="12"/>
          <w:rFonts w:ascii="Times New Roman" w:hAnsi="Times New Roman" w:eastAsia="方正楷体_GBK" w:cs="Times New Roman"/>
          <w:color w:val="auto"/>
          <w:kern w:val="0"/>
          <w:sz w:val="28"/>
          <w:szCs w:val="28"/>
        </w:rPr>
        <w:t>第一节 推动建设深河特别合作区</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_Toc67502332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- 41 -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"_Toc67502333" </w:instrText>
      </w:r>
      <w:r>
        <w:fldChar w:fldCharType="separate"/>
      </w:r>
      <w:r>
        <w:rPr>
          <w:rStyle w:val="12"/>
          <w:rFonts w:ascii="Times New Roman" w:hAnsi="Times New Roman" w:eastAsia="方正楷体_GBK" w:cs="Times New Roman"/>
          <w:color w:val="auto"/>
          <w:kern w:val="0"/>
          <w:sz w:val="28"/>
          <w:szCs w:val="28"/>
        </w:rPr>
        <w:t>第二节 构建互联互通基础设施网络</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_Toc67502333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- 42 -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sectPr>
          <w:headerReference r:id="rId5" w:type="default"/>
          <w:footerReference r:id="rId6" w:type="default"/>
          <w:footerReference r:id="rId7" w:type="even"/>
          <w:pgSz w:w="11906" w:h="16838"/>
          <w:pgMar w:top="2098" w:right="1531" w:bottom="1701" w:left="1531" w:header="851" w:footer="992" w:gutter="0"/>
          <w:pgNumType w:start="1"/>
          <w:cols w:space="720" w:num="1"/>
          <w:docGrid w:type="lines" w:linePitch="312" w:charSpace="0"/>
        </w:sectPr>
      </w:pP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"_Toc67502334" </w:instrText>
      </w:r>
      <w:r>
        <w:fldChar w:fldCharType="separate"/>
      </w:r>
      <w:r>
        <w:rPr>
          <w:rStyle w:val="12"/>
          <w:rFonts w:ascii="Times New Roman" w:hAnsi="Times New Roman" w:eastAsia="方正楷体_GBK" w:cs="Times New Roman"/>
          <w:color w:val="auto"/>
          <w:kern w:val="0"/>
          <w:sz w:val="28"/>
          <w:szCs w:val="28"/>
        </w:rPr>
        <w:t>第三节 深度融入“双区”“大网络”“大市场”</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_Toc67502334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- 43 -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"_Toc67502335" </w:instrText>
      </w:r>
      <w:r>
        <w:fldChar w:fldCharType="separate"/>
      </w:r>
      <w:r>
        <w:rPr>
          <w:rStyle w:val="12"/>
          <w:rFonts w:ascii="Times New Roman" w:hAnsi="Times New Roman" w:eastAsia="方正楷体_GBK" w:cs="Times New Roman"/>
          <w:color w:val="auto"/>
          <w:kern w:val="0"/>
          <w:sz w:val="28"/>
          <w:szCs w:val="28"/>
        </w:rPr>
        <w:t>第四节 推进与“双区”基本公共服务一体化</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_Toc67502335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- 43 -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firstLine="420" w:firstLineChars="200"/>
        <w:rPr>
          <w:rFonts w:ascii="Times New Roman" w:hAnsi="Times New Roman" w:eastAsia="等线" w:cs="Times New Roman"/>
          <w:sz w:val="28"/>
          <w:szCs w:val="28"/>
        </w:rPr>
      </w:pPr>
      <w:r>
        <w:fldChar w:fldCharType="begin"/>
      </w:r>
      <w:r>
        <w:instrText xml:space="preserve"> HYPERLINK \l "_Toc67502336" </w:instrText>
      </w:r>
      <w:r>
        <w:fldChar w:fldCharType="separate"/>
      </w:r>
      <w:r>
        <w:rPr>
          <w:rStyle w:val="12"/>
          <w:rFonts w:ascii="Times New Roman" w:hAnsi="Times New Roman" w:eastAsia="方正黑体_GBK" w:cs="Times New Roman"/>
          <w:color w:val="auto"/>
          <w:kern w:val="44"/>
          <w:sz w:val="28"/>
          <w:szCs w:val="28"/>
          <w:lang w:val="zh-CN"/>
        </w:rPr>
        <w:t>第六章 加快融入双循环体系，打造内外市场平台</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_Toc67502336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- 45 -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"_Toc67502337" </w:instrText>
      </w:r>
      <w:r>
        <w:fldChar w:fldCharType="separate"/>
      </w:r>
      <w:r>
        <w:rPr>
          <w:rStyle w:val="12"/>
          <w:rFonts w:ascii="Times New Roman" w:hAnsi="Times New Roman" w:eastAsia="方正楷体_GBK" w:cs="Times New Roman"/>
          <w:color w:val="auto"/>
          <w:kern w:val="0"/>
          <w:sz w:val="28"/>
          <w:szCs w:val="28"/>
        </w:rPr>
        <w:t>第一节 全力扩大有效投资</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_Toc67502337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- 45 -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"_Toc67502338" </w:instrText>
      </w:r>
      <w:r>
        <w:fldChar w:fldCharType="separate"/>
      </w:r>
      <w:r>
        <w:rPr>
          <w:rStyle w:val="12"/>
          <w:rFonts w:ascii="Times New Roman" w:hAnsi="Times New Roman" w:eastAsia="方正楷体_GBK" w:cs="Times New Roman"/>
          <w:color w:val="auto"/>
          <w:kern w:val="0"/>
          <w:sz w:val="28"/>
          <w:szCs w:val="28"/>
        </w:rPr>
        <w:t>第二节 促进消费提质扩容</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_Toc67502338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- 47 -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"_Toc67502339" </w:instrText>
      </w:r>
      <w:r>
        <w:fldChar w:fldCharType="separate"/>
      </w:r>
      <w:r>
        <w:rPr>
          <w:rStyle w:val="12"/>
          <w:rFonts w:ascii="Times New Roman" w:hAnsi="Times New Roman" w:eastAsia="方正楷体_GBK" w:cs="Times New Roman"/>
          <w:color w:val="auto"/>
          <w:kern w:val="0"/>
          <w:sz w:val="28"/>
          <w:szCs w:val="28"/>
        </w:rPr>
        <w:t>第三节 推动外贸高质量发展</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_Toc67502339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- 49 -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"_Toc67502340" </w:instrText>
      </w:r>
      <w:r>
        <w:fldChar w:fldCharType="separate"/>
      </w:r>
      <w:r>
        <w:rPr>
          <w:rStyle w:val="12"/>
          <w:rFonts w:ascii="Times New Roman" w:hAnsi="Times New Roman" w:eastAsia="方正楷体_GBK" w:cs="Times New Roman"/>
          <w:color w:val="auto"/>
          <w:kern w:val="0"/>
          <w:sz w:val="28"/>
          <w:szCs w:val="28"/>
        </w:rPr>
        <w:t>第四节 完善促进国内国际双循环的体制机制</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_Toc67502340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- 50 -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firstLine="420" w:firstLineChars="200"/>
        <w:rPr>
          <w:rFonts w:ascii="Times New Roman" w:hAnsi="Times New Roman" w:eastAsia="等线" w:cs="Times New Roman"/>
          <w:sz w:val="28"/>
          <w:szCs w:val="28"/>
        </w:rPr>
      </w:pPr>
      <w:r>
        <w:fldChar w:fldCharType="begin"/>
      </w:r>
      <w:r>
        <w:instrText xml:space="preserve"> HYPERLINK \l "_Toc67502341" </w:instrText>
      </w:r>
      <w:r>
        <w:fldChar w:fldCharType="separate"/>
      </w:r>
      <w:r>
        <w:rPr>
          <w:rStyle w:val="12"/>
          <w:rFonts w:ascii="Times New Roman" w:hAnsi="Times New Roman" w:eastAsia="方正黑体_GBK" w:cs="Times New Roman"/>
          <w:color w:val="auto"/>
          <w:kern w:val="44"/>
          <w:sz w:val="28"/>
          <w:szCs w:val="28"/>
          <w:lang w:val="zh-CN"/>
        </w:rPr>
        <w:t>第七章 建设现代化基础设施体系，打造枢纽门户平台</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_Toc67502341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- 52 -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"_Toc67502342" </w:instrText>
      </w:r>
      <w:r>
        <w:fldChar w:fldCharType="separate"/>
      </w:r>
      <w:r>
        <w:rPr>
          <w:rStyle w:val="12"/>
          <w:rFonts w:ascii="Times New Roman" w:hAnsi="Times New Roman" w:eastAsia="方正楷体_GBK" w:cs="Times New Roman"/>
          <w:color w:val="auto"/>
          <w:kern w:val="0"/>
          <w:sz w:val="28"/>
          <w:szCs w:val="28"/>
        </w:rPr>
        <w:t>第一节 构筑现代化综合交通体系</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_Toc67502342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- 52 -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"_Toc67502343" </w:instrText>
      </w:r>
      <w:r>
        <w:fldChar w:fldCharType="separate"/>
      </w:r>
      <w:r>
        <w:rPr>
          <w:rStyle w:val="12"/>
          <w:rFonts w:ascii="Times New Roman" w:hAnsi="Times New Roman" w:eastAsia="方正楷体_GBK" w:cs="Times New Roman"/>
          <w:color w:val="auto"/>
          <w:kern w:val="0"/>
          <w:sz w:val="28"/>
          <w:szCs w:val="28"/>
        </w:rPr>
        <w:t>第二节 完善新区市政基础设施</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_Toc67502343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- 54 -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"_Toc67502344" </w:instrText>
      </w:r>
      <w:r>
        <w:fldChar w:fldCharType="separate"/>
      </w:r>
      <w:r>
        <w:rPr>
          <w:rStyle w:val="12"/>
          <w:rFonts w:ascii="Times New Roman" w:hAnsi="Times New Roman" w:eastAsia="方正楷体_GBK" w:cs="Times New Roman"/>
          <w:color w:val="auto"/>
          <w:kern w:val="0"/>
          <w:sz w:val="28"/>
          <w:szCs w:val="28"/>
        </w:rPr>
        <w:t>第三节 加快推进新型基础设施建设</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_Toc67502344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- 54 -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"_Toc67502345" </w:instrText>
      </w:r>
      <w:r>
        <w:fldChar w:fldCharType="separate"/>
      </w:r>
      <w:r>
        <w:rPr>
          <w:rStyle w:val="12"/>
          <w:rFonts w:ascii="Times New Roman" w:hAnsi="Times New Roman" w:eastAsia="方正楷体_GBK" w:cs="Times New Roman"/>
          <w:color w:val="auto"/>
          <w:kern w:val="0"/>
          <w:sz w:val="28"/>
          <w:szCs w:val="28"/>
        </w:rPr>
        <w:t>第四节 加快推动能源水利基础设施建设</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_Toc67502345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- 55 -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firstLine="420" w:firstLineChars="200"/>
        <w:rPr>
          <w:rFonts w:ascii="Times New Roman" w:hAnsi="Times New Roman" w:eastAsia="等线" w:cs="Times New Roman"/>
          <w:sz w:val="28"/>
          <w:szCs w:val="28"/>
        </w:rPr>
      </w:pPr>
      <w:r>
        <w:fldChar w:fldCharType="begin"/>
      </w:r>
      <w:r>
        <w:instrText xml:space="preserve"> HYPERLINK \l "_Toc67502346" </w:instrText>
      </w:r>
      <w:r>
        <w:fldChar w:fldCharType="separate"/>
      </w:r>
      <w:r>
        <w:rPr>
          <w:rStyle w:val="12"/>
          <w:rFonts w:ascii="Times New Roman" w:hAnsi="Times New Roman" w:eastAsia="方正黑体_GBK" w:cs="Times New Roman"/>
          <w:color w:val="auto"/>
          <w:kern w:val="44"/>
          <w:sz w:val="28"/>
          <w:szCs w:val="28"/>
          <w:lang w:val="zh-CN"/>
        </w:rPr>
        <w:t>第八章 推动城乡融合发展，打造乡村振兴平台</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_Toc67502346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- 57 -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"_Toc67502347" </w:instrText>
      </w:r>
      <w:r>
        <w:fldChar w:fldCharType="separate"/>
      </w:r>
      <w:r>
        <w:rPr>
          <w:rStyle w:val="12"/>
          <w:rFonts w:ascii="Times New Roman" w:hAnsi="Times New Roman" w:eastAsia="方正楷体_GBK" w:cs="Times New Roman"/>
          <w:color w:val="auto"/>
          <w:kern w:val="0"/>
          <w:sz w:val="28"/>
          <w:szCs w:val="28"/>
        </w:rPr>
        <w:t>第一节 发展富民兴村产业</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_Toc67502347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- 57 -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"_Toc67502348" </w:instrText>
      </w:r>
      <w:r>
        <w:fldChar w:fldCharType="separate"/>
      </w:r>
      <w:r>
        <w:rPr>
          <w:rStyle w:val="12"/>
          <w:rFonts w:ascii="Times New Roman" w:hAnsi="Times New Roman" w:eastAsia="方正楷体_GBK" w:cs="Times New Roman"/>
          <w:color w:val="auto"/>
          <w:kern w:val="0"/>
          <w:sz w:val="28"/>
          <w:szCs w:val="28"/>
        </w:rPr>
        <w:t>第二节 建设生态宜居美丽乡村</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_Toc67502348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- 59 -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"_Toc67502349" </w:instrText>
      </w:r>
      <w:r>
        <w:fldChar w:fldCharType="separate"/>
      </w:r>
      <w:r>
        <w:rPr>
          <w:rStyle w:val="12"/>
          <w:rFonts w:ascii="Times New Roman" w:hAnsi="Times New Roman" w:eastAsia="方正楷体_GBK" w:cs="Times New Roman"/>
          <w:color w:val="auto"/>
          <w:kern w:val="0"/>
          <w:sz w:val="28"/>
          <w:szCs w:val="28"/>
        </w:rPr>
        <w:t>第三节 促进脱贫攻坚与乡村振兴有效衔接</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_Toc67502349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- 62 -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"_Toc67502350" </w:instrText>
      </w:r>
      <w:r>
        <w:fldChar w:fldCharType="separate"/>
      </w:r>
      <w:r>
        <w:rPr>
          <w:rStyle w:val="12"/>
          <w:rFonts w:ascii="Times New Roman" w:hAnsi="Times New Roman" w:eastAsia="方正楷体_GBK" w:cs="Times New Roman"/>
          <w:color w:val="auto"/>
          <w:kern w:val="0"/>
          <w:sz w:val="28"/>
          <w:szCs w:val="28"/>
        </w:rPr>
        <w:t>第四节 深化涉农领域改革</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_Toc67502350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- 63 -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"_Toc67502351" </w:instrText>
      </w:r>
      <w:r>
        <w:fldChar w:fldCharType="separate"/>
      </w:r>
      <w:r>
        <w:rPr>
          <w:rStyle w:val="12"/>
          <w:rFonts w:ascii="Times New Roman" w:hAnsi="Times New Roman" w:eastAsia="方正楷体_GBK" w:cs="Times New Roman"/>
          <w:color w:val="auto"/>
          <w:kern w:val="0"/>
          <w:sz w:val="28"/>
          <w:szCs w:val="28"/>
        </w:rPr>
        <w:t>第五节 推动城乡融合发展</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_Toc67502351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- 64 -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firstLine="420" w:firstLineChars="200"/>
        <w:rPr>
          <w:rFonts w:ascii="Times New Roman" w:hAnsi="Times New Roman" w:eastAsia="等线" w:cs="Times New Roman"/>
          <w:sz w:val="28"/>
          <w:szCs w:val="28"/>
        </w:rPr>
      </w:pPr>
      <w:r>
        <w:fldChar w:fldCharType="begin"/>
      </w:r>
      <w:r>
        <w:instrText xml:space="preserve"> HYPERLINK \l "_Toc67502352" </w:instrText>
      </w:r>
      <w:r>
        <w:fldChar w:fldCharType="separate"/>
      </w:r>
      <w:r>
        <w:rPr>
          <w:rStyle w:val="12"/>
          <w:rFonts w:ascii="Times New Roman" w:hAnsi="Times New Roman" w:eastAsia="方正黑体_GBK" w:cs="Times New Roman"/>
          <w:color w:val="auto"/>
          <w:kern w:val="44"/>
          <w:sz w:val="28"/>
          <w:szCs w:val="28"/>
          <w:lang w:val="zh-CN"/>
        </w:rPr>
        <w:t>第九章  树立生态经济发展新标杆，打造绿色发展平台</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_Toc67502352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- 66 -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"_Toc67502353" </w:instrText>
      </w:r>
      <w:r>
        <w:fldChar w:fldCharType="separate"/>
      </w:r>
      <w:r>
        <w:rPr>
          <w:rStyle w:val="12"/>
          <w:rFonts w:ascii="Times New Roman" w:hAnsi="Times New Roman" w:eastAsia="方正楷体_GBK" w:cs="Times New Roman"/>
          <w:color w:val="auto"/>
          <w:kern w:val="0"/>
          <w:sz w:val="28"/>
          <w:szCs w:val="28"/>
        </w:rPr>
        <w:t>第一节 筑牢生态防护屏障</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_Toc67502353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- 66 -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"_Toc67502354" </w:instrText>
      </w:r>
      <w:r>
        <w:fldChar w:fldCharType="separate"/>
      </w:r>
      <w:r>
        <w:rPr>
          <w:rStyle w:val="12"/>
          <w:rFonts w:ascii="Times New Roman" w:hAnsi="Times New Roman" w:eastAsia="方正楷体_GBK" w:cs="Times New Roman"/>
          <w:color w:val="auto"/>
          <w:kern w:val="0"/>
          <w:sz w:val="28"/>
          <w:szCs w:val="28"/>
        </w:rPr>
        <w:t>第二节 加强生态环境治理能力建设</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_Toc67502354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- 68 -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sectPr>
          <w:footerReference r:id="rId8" w:type="default"/>
          <w:footerReference r:id="rId9" w:type="even"/>
          <w:pgSz w:w="11906" w:h="16838"/>
          <w:pgMar w:top="2098" w:right="1531" w:bottom="1701" w:left="1531" w:header="851" w:footer="992" w:gutter="0"/>
          <w:pgNumType w:start="1"/>
          <w:cols w:space="720" w:num="1"/>
          <w:docGrid w:type="lines" w:linePitch="312" w:charSpace="0"/>
        </w:sectPr>
      </w:pP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"_Toc67502355" </w:instrText>
      </w:r>
      <w:r>
        <w:fldChar w:fldCharType="separate"/>
      </w:r>
      <w:r>
        <w:rPr>
          <w:rStyle w:val="12"/>
          <w:rFonts w:ascii="Times New Roman" w:hAnsi="Times New Roman" w:eastAsia="方正楷体_GBK" w:cs="Times New Roman"/>
          <w:color w:val="auto"/>
          <w:kern w:val="0"/>
          <w:sz w:val="28"/>
          <w:szCs w:val="28"/>
        </w:rPr>
        <w:t>第三节 推进绿色低碳循环发展</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_Toc67502355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- 71 -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"_Toc67502356" </w:instrText>
      </w:r>
      <w:r>
        <w:fldChar w:fldCharType="separate"/>
      </w:r>
      <w:r>
        <w:rPr>
          <w:rStyle w:val="12"/>
          <w:rFonts w:ascii="Times New Roman" w:hAnsi="Times New Roman" w:eastAsia="方正楷体_GBK" w:cs="Times New Roman"/>
          <w:color w:val="auto"/>
          <w:kern w:val="0"/>
          <w:sz w:val="28"/>
          <w:szCs w:val="28"/>
        </w:rPr>
        <w:t>第四节 构建现代环境治理体系</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_Toc67502356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- 72 -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"_Toc67502357" </w:instrText>
      </w:r>
      <w:r>
        <w:fldChar w:fldCharType="separate"/>
      </w:r>
      <w:r>
        <w:rPr>
          <w:rStyle w:val="12"/>
          <w:rFonts w:ascii="Times New Roman" w:hAnsi="Times New Roman" w:eastAsia="方正楷体_GBK" w:cs="Times New Roman"/>
          <w:color w:val="auto"/>
          <w:kern w:val="0"/>
          <w:sz w:val="28"/>
          <w:szCs w:val="28"/>
        </w:rPr>
        <w:t>第五节 补齐环保基础设施短板</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_Toc67502357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- 73 -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firstLine="420" w:firstLineChars="200"/>
        <w:rPr>
          <w:rFonts w:ascii="Times New Roman" w:hAnsi="Times New Roman" w:eastAsia="等线" w:cs="Times New Roman"/>
          <w:sz w:val="28"/>
          <w:szCs w:val="28"/>
        </w:rPr>
      </w:pPr>
      <w:r>
        <w:fldChar w:fldCharType="begin"/>
      </w:r>
      <w:r>
        <w:instrText xml:space="preserve"> HYPERLINK \l "_Toc67502358" </w:instrText>
      </w:r>
      <w:r>
        <w:fldChar w:fldCharType="separate"/>
      </w:r>
      <w:r>
        <w:rPr>
          <w:rStyle w:val="12"/>
          <w:rFonts w:ascii="Times New Roman" w:hAnsi="Times New Roman" w:eastAsia="方正黑体_GBK" w:cs="Times New Roman"/>
          <w:color w:val="auto"/>
          <w:kern w:val="44"/>
          <w:sz w:val="28"/>
          <w:szCs w:val="28"/>
          <w:lang w:val="zh-CN"/>
        </w:rPr>
        <w:t>第十章 突破体制机制瓶颈，打造改革创新平台</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_Toc67502358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- 76 -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"_Toc67502359" </w:instrText>
      </w:r>
      <w:r>
        <w:fldChar w:fldCharType="separate"/>
      </w:r>
      <w:r>
        <w:rPr>
          <w:rStyle w:val="12"/>
          <w:rFonts w:ascii="Times New Roman" w:hAnsi="Times New Roman" w:eastAsia="方正楷体_GBK" w:cs="Times New Roman"/>
          <w:color w:val="auto"/>
          <w:kern w:val="0"/>
          <w:sz w:val="28"/>
          <w:szCs w:val="28"/>
        </w:rPr>
        <w:t>第一节 持续优化营商环境</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_Toc67502359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- 76 -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"_Toc67502360" </w:instrText>
      </w:r>
      <w:r>
        <w:fldChar w:fldCharType="separate"/>
      </w:r>
      <w:r>
        <w:rPr>
          <w:rStyle w:val="12"/>
          <w:rFonts w:ascii="Times New Roman" w:hAnsi="Times New Roman" w:eastAsia="方正楷体_GBK" w:cs="Times New Roman"/>
          <w:color w:val="auto"/>
          <w:kern w:val="0"/>
          <w:sz w:val="28"/>
          <w:szCs w:val="28"/>
        </w:rPr>
        <w:t>第二节 完善要素市场化配置体制机制</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_Toc67502360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- 77 -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"_Toc67502361" </w:instrText>
      </w:r>
      <w:r>
        <w:fldChar w:fldCharType="separate"/>
      </w:r>
      <w:r>
        <w:rPr>
          <w:rStyle w:val="12"/>
          <w:rFonts w:ascii="Times New Roman" w:hAnsi="Times New Roman" w:eastAsia="方正楷体_GBK" w:cs="Times New Roman"/>
          <w:color w:val="auto"/>
          <w:kern w:val="0"/>
          <w:sz w:val="28"/>
          <w:szCs w:val="28"/>
        </w:rPr>
        <w:t>第三节 全面激发市场主体活力</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_Toc67502361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- 78 -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"_Toc67502362" </w:instrText>
      </w:r>
      <w:r>
        <w:fldChar w:fldCharType="separate"/>
      </w:r>
      <w:r>
        <w:rPr>
          <w:rStyle w:val="12"/>
          <w:rFonts w:ascii="Times New Roman" w:hAnsi="Times New Roman" w:eastAsia="方正楷体_GBK" w:cs="Times New Roman"/>
          <w:color w:val="auto"/>
          <w:kern w:val="0"/>
          <w:sz w:val="28"/>
          <w:szCs w:val="28"/>
        </w:rPr>
        <w:t>第四节 发展更高水平的开放型经济</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_Toc67502362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- 79 -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firstLine="420" w:firstLineChars="200"/>
        <w:rPr>
          <w:rFonts w:ascii="Times New Roman" w:hAnsi="Times New Roman" w:eastAsia="等线" w:cs="Times New Roman"/>
          <w:sz w:val="28"/>
          <w:szCs w:val="28"/>
        </w:rPr>
      </w:pPr>
      <w:r>
        <w:fldChar w:fldCharType="begin"/>
      </w:r>
      <w:r>
        <w:instrText xml:space="preserve"> HYPERLINK \l "_Toc67502363" </w:instrText>
      </w:r>
      <w:r>
        <w:fldChar w:fldCharType="separate"/>
      </w:r>
      <w:r>
        <w:rPr>
          <w:rStyle w:val="12"/>
          <w:rFonts w:ascii="Times New Roman" w:hAnsi="Times New Roman" w:eastAsia="方正黑体_GBK" w:cs="Times New Roman"/>
          <w:color w:val="auto"/>
          <w:kern w:val="44"/>
          <w:sz w:val="28"/>
          <w:szCs w:val="28"/>
          <w:lang w:val="zh-CN"/>
        </w:rPr>
        <w:t>第十</w:t>
      </w:r>
      <w:r>
        <w:rPr>
          <w:rStyle w:val="12"/>
          <w:rFonts w:hint="eastAsia" w:ascii="Times New Roman" w:hAnsi="Times New Roman" w:eastAsia="方正黑体_GBK" w:cs="Times New Roman"/>
          <w:color w:val="auto"/>
          <w:kern w:val="44"/>
          <w:sz w:val="28"/>
          <w:szCs w:val="28"/>
          <w:lang w:val="zh-CN"/>
        </w:rPr>
        <w:t>一</w:t>
      </w:r>
      <w:r>
        <w:rPr>
          <w:rStyle w:val="12"/>
          <w:rFonts w:ascii="Times New Roman" w:hAnsi="Times New Roman" w:eastAsia="方正黑体_GBK" w:cs="Times New Roman"/>
          <w:color w:val="auto"/>
          <w:kern w:val="44"/>
          <w:sz w:val="28"/>
          <w:szCs w:val="28"/>
          <w:lang w:val="zh-CN"/>
        </w:rPr>
        <w:t>章 强化民生保障，打造高品质幸福新区</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_Toc67502363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- 81 -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"_Toc67502364" </w:instrText>
      </w:r>
      <w:r>
        <w:fldChar w:fldCharType="separate"/>
      </w:r>
      <w:r>
        <w:rPr>
          <w:rStyle w:val="12"/>
          <w:rFonts w:ascii="Times New Roman" w:hAnsi="Times New Roman" w:eastAsia="方正楷体_GBK" w:cs="Times New Roman"/>
          <w:color w:val="auto"/>
          <w:kern w:val="0"/>
          <w:sz w:val="28"/>
          <w:szCs w:val="28"/>
        </w:rPr>
        <w:t>第一节 推动文化事业繁荣发展</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_Toc67502364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- 81 -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"_Toc67502365" </w:instrText>
      </w:r>
      <w:r>
        <w:fldChar w:fldCharType="separate"/>
      </w:r>
      <w:r>
        <w:rPr>
          <w:rStyle w:val="12"/>
          <w:rFonts w:ascii="Times New Roman" w:hAnsi="Times New Roman" w:eastAsia="方正楷体_GBK" w:cs="Times New Roman"/>
          <w:color w:val="auto"/>
          <w:kern w:val="0"/>
          <w:sz w:val="28"/>
          <w:szCs w:val="28"/>
        </w:rPr>
        <w:t>第二节 打造区域教育高地</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_Toc67502365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- 84 -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"_Toc67502366" </w:instrText>
      </w:r>
      <w:r>
        <w:fldChar w:fldCharType="separate"/>
      </w:r>
      <w:r>
        <w:rPr>
          <w:rStyle w:val="12"/>
          <w:rFonts w:ascii="Times New Roman" w:hAnsi="Times New Roman" w:eastAsia="方正楷体_GBK" w:cs="Times New Roman"/>
          <w:color w:val="auto"/>
          <w:kern w:val="0"/>
          <w:sz w:val="28"/>
          <w:szCs w:val="28"/>
        </w:rPr>
        <w:t>第三节 大力建设健康江东</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_Toc67502366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- 89 -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"_Toc67502367" </w:instrText>
      </w:r>
      <w:r>
        <w:fldChar w:fldCharType="separate"/>
      </w:r>
      <w:r>
        <w:rPr>
          <w:rStyle w:val="12"/>
          <w:rFonts w:ascii="Times New Roman" w:hAnsi="Times New Roman" w:eastAsia="方正楷体_GBK" w:cs="Times New Roman"/>
          <w:color w:val="auto"/>
          <w:kern w:val="0"/>
          <w:sz w:val="28"/>
          <w:szCs w:val="28"/>
        </w:rPr>
        <w:t>第四节 健全多层次社会保障体系</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_Toc67502367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- 91 -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"_Toc67502368" </w:instrText>
      </w:r>
      <w:r>
        <w:fldChar w:fldCharType="separate"/>
      </w:r>
      <w:r>
        <w:rPr>
          <w:rStyle w:val="12"/>
          <w:rFonts w:ascii="Times New Roman" w:hAnsi="Times New Roman" w:eastAsia="方正楷体_GBK" w:cs="Times New Roman"/>
          <w:color w:val="auto"/>
          <w:kern w:val="0"/>
          <w:sz w:val="28"/>
          <w:szCs w:val="28"/>
        </w:rPr>
        <w:t>第五节 建设多层次养老服务体系</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_Toc67502368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- 95 -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"_Toc67502369" </w:instrText>
      </w:r>
      <w:r>
        <w:fldChar w:fldCharType="separate"/>
      </w:r>
      <w:r>
        <w:rPr>
          <w:rStyle w:val="12"/>
          <w:rFonts w:ascii="Times New Roman" w:hAnsi="Times New Roman" w:eastAsia="方正楷体_GBK" w:cs="Times New Roman"/>
          <w:color w:val="auto"/>
          <w:kern w:val="0"/>
          <w:sz w:val="28"/>
          <w:szCs w:val="28"/>
        </w:rPr>
        <w:t>第六节 加强和创新社会治理</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_Toc67502369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- 97 -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firstLine="420" w:firstLineChars="200"/>
        <w:rPr>
          <w:rFonts w:ascii="Times New Roman" w:hAnsi="Times New Roman" w:eastAsia="等线" w:cs="Times New Roman"/>
          <w:sz w:val="28"/>
          <w:szCs w:val="28"/>
        </w:rPr>
      </w:pPr>
      <w:r>
        <w:fldChar w:fldCharType="begin"/>
      </w:r>
      <w:r>
        <w:instrText xml:space="preserve"> HYPERLINK \l "_Toc67502370" </w:instrText>
      </w:r>
      <w:r>
        <w:fldChar w:fldCharType="separate"/>
      </w:r>
      <w:r>
        <w:rPr>
          <w:rStyle w:val="12"/>
          <w:rFonts w:ascii="Times New Roman" w:hAnsi="Times New Roman" w:eastAsia="方正黑体_GBK" w:cs="Times New Roman"/>
          <w:color w:val="auto"/>
          <w:kern w:val="44"/>
          <w:sz w:val="28"/>
          <w:szCs w:val="28"/>
          <w:lang w:val="zh-CN"/>
        </w:rPr>
        <w:t>第十</w:t>
      </w:r>
      <w:r>
        <w:rPr>
          <w:rStyle w:val="12"/>
          <w:rFonts w:hint="eastAsia" w:ascii="Times New Roman" w:hAnsi="Times New Roman" w:eastAsia="方正黑体_GBK" w:cs="Times New Roman"/>
          <w:color w:val="auto"/>
          <w:kern w:val="44"/>
          <w:sz w:val="28"/>
          <w:szCs w:val="28"/>
          <w:lang w:val="zh-CN"/>
        </w:rPr>
        <w:t>二</w:t>
      </w:r>
      <w:r>
        <w:rPr>
          <w:rStyle w:val="12"/>
          <w:rFonts w:ascii="Times New Roman" w:hAnsi="Times New Roman" w:eastAsia="方正黑体_GBK" w:cs="Times New Roman"/>
          <w:color w:val="auto"/>
          <w:kern w:val="44"/>
          <w:sz w:val="28"/>
          <w:szCs w:val="28"/>
          <w:lang w:val="zh-CN"/>
        </w:rPr>
        <w:t>章 统筹发展和安全，建设高水平平安新区</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_Toc67502370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- 98 -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"_Toc67502371" </w:instrText>
      </w:r>
      <w:r>
        <w:fldChar w:fldCharType="separate"/>
      </w:r>
      <w:r>
        <w:rPr>
          <w:rStyle w:val="12"/>
          <w:rFonts w:ascii="Times New Roman" w:hAnsi="Times New Roman" w:eastAsia="方正楷体_GBK" w:cs="Times New Roman"/>
          <w:color w:val="auto"/>
          <w:kern w:val="0"/>
          <w:sz w:val="28"/>
          <w:szCs w:val="28"/>
        </w:rPr>
        <w:t>第一节 加强国家安全体系和能力建设</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_Toc67502371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- 98 -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"_Toc67502372" </w:instrText>
      </w:r>
      <w:r>
        <w:fldChar w:fldCharType="separate"/>
      </w:r>
      <w:r>
        <w:rPr>
          <w:rStyle w:val="12"/>
          <w:rFonts w:ascii="Times New Roman" w:hAnsi="Times New Roman" w:eastAsia="方正楷体_GBK" w:cs="Times New Roman"/>
          <w:color w:val="auto"/>
          <w:kern w:val="0"/>
          <w:sz w:val="28"/>
          <w:szCs w:val="28"/>
        </w:rPr>
        <w:t>第二节 保障经济安全</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_Toc67502372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- 100 -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"_Toc67502373" </w:instrText>
      </w:r>
      <w:r>
        <w:fldChar w:fldCharType="separate"/>
      </w:r>
      <w:r>
        <w:rPr>
          <w:rStyle w:val="12"/>
          <w:rFonts w:ascii="Times New Roman" w:hAnsi="Times New Roman" w:eastAsia="方正楷体_GBK" w:cs="Times New Roman"/>
          <w:color w:val="auto"/>
          <w:kern w:val="0"/>
          <w:sz w:val="28"/>
          <w:szCs w:val="28"/>
        </w:rPr>
        <w:t>第三节 维护社会稳定和安全</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_Toc67502373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- 101 -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"_Toc67502374" </w:instrText>
      </w:r>
      <w:r>
        <w:fldChar w:fldCharType="separate"/>
      </w:r>
      <w:r>
        <w:rPr>
          <w:rStyle w:val="12"/>
          <w:rFonts w:ascii="Times New Roman" w:hAnsi="Times New Roman" w:eastAsia="方正楷体_GBK" w:cs="Times New Roman"/>
          <w:color w:val="auto"/>
          <w:kern w:val="0"/>
          <w:sz w:val="28"/>
          <w:szCs w:val="28"/>
        </w:rPr>
        <w:t>第四节 提高应急管理能力</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_Toc67502374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- 103 -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firstLine="420" w:firstLineChars="200"/>
        <w:rPr>
          <w:rFonts w:ascii="Times New Roman" w:hAnsi="Times New Roman" w:eastAsia="等线" w:cs="Times New Roman"/>
          <w:sz w:val="28"/>
          <w:szCs w:val="28"/>
        </w:rPr>
      </w:pPr>
      <w:r>
        <w:fldChar w:fldCharType="begin"/>
      </w:r>
      <w:r>
        <w:instrText xml:space="preserve"> HYPERLINK \l "_Toc67502375" </w:instrText>
      </w:r>
      <w:r>
        <w:fldChar w:fldCharType="separate"/>
      </w:r>
      <w:r>
        <w:rPr>
          <w:rStyle w:val="12"/>
          <w:rFonts w:ascii="Times New Roman" w:hAnsi="Times New Roman" w:eastAsia="方正黑体_GBK" w:cs="Times New Roman"/>
          <w:color w:val="auto"/>
          <w:kern w:val="44"/>
          <w:sz w:val="28"/>
          <w:szCs w:val="28"/>
          <w:lang w:val="zh-CN"/>
        </w:rPr>
        <w:t>第十</w:t>
      </w:r>
      <w:r>
        <w:rPr>
          <w:rStyle w:val="12"/>
          <w:rFonts w:hint="eastAsia" w:ascii="Times New Roman" w:hAnsi="Times New Roman" w:eastAsia="方正黑体_GBK" w:cs="Times New Roman"/>
          <w:color w:val="auto"/>
          <w:kern w:val="44"/>
          <w:sz w:val="28"/>
          <w:szCs w:val="28"/>
          <w:lang w:val="zh-CN"/>
        </w:rPr>
        <w:t>三</w:t>
      </w:r>
      <w:r>
        <w:rPr>
          <w:rStyle w:val="12"/>
          <w:rFonts w:ascii="Times New Roman" w:hAnsi="Times New Roman" w:eastAsia="方正黑体_GBK" w:cs="Times New Roman"/>
          <w:color w:val="auto"/>
          <w:kern w:val="44"/>
          <w:sz w:val="28"/>
          <w:szCs w:val="28"/>
          <w:lang w:val="zh-CN"/>
        </w:rPr>
        <w:t>章 健全规划实施机制，保障实现发展蓝图</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_Toc67502375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- 105 -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sectPr>
          <w:footerReference r:id="rId10" w:type="default"/>
          <w:footerReference r:id="rId11" w:type="even"/>
          <w:pgSz w:w="11906" w:h="16838"/>
          <w:pgMar w:top="2098" w:right="1531" w:bottom="1701" w:left="1531" w:header="851" w:footer="992" w:gutter="0"/>
          <w:pgNumType w:start="1"/>
          <w:cols w:space="720" w:num="1"/>
          <w:docGrid w:type="lines" w:linePitch="312" w:charSpace="0"/>
        </w:sectPr>
      </w:pP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"_Toc67502376" </w:instrText>
      </w:r>
      <w:r>
        <w:fldChar w:fldCharType="separate"/>
      </w:r>
      <w:r>
        <w:rPr>
          <w:rStyle w:val="12"/>
          <w:rFonts w:ascii="Times New Roman" w:hAnsi="Times New Roman" w:eastAsia="方正楷体_GBK" w:cs="Times New Roman"/>
          <w:color w:val="auto"/>
          <w:kern w:val="0"/>
          <w:sz w:val="28"/>
          <w:szCs w:val="28"/>
        </w:rPr>
        <w:t>第一节 加强党政建设</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_Toc67502376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- 105 -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"_Toc67502377" </w:instrText>
      </w:r>
      <w:r>
        <w:fldChar w:fldCharType="separate"/>
      </w:r>
      <w:r>
        <w:rPr>
          <w:rStyle w:val="12"/>
          <w:rFonts w:ascii="Times New Roman" w:hAnsi="Times New Roman" w:eastAsia="方正楷体_GBK" w:cs="Times New Roman"/>
          <w:color w:val="auto"/>
          <w:kern w:val="0"/>
          <w:sz w:val="28"/>
          <w:szCs w:val="28"/>
        </w:rPr>
        <w:t>第二节 加强组织实施</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_Toc67502377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- 105 -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"_Toc67502378" </w:instrText>
      </w:r>
      <w:r>
        <w:fldChar w:fldCharType="separate"/>
      </w:r>
      <w:r>
        <w:rPr>
          <w:rStyle w:val="12"/>
          <w:rFonts w:ascii="Times New Roman" w:hAnsi="Times New Roman" w:eastAsia="方正楷体_GBK" w:cs="Times New Roman"/>
          <w:color w:val="auto"/>
          <w:kern w:val="0"/>
          <w:sz w:val="28"/>
          <w:szCs w:val="28"/>
        </w:rPr>
        <w:t>第三节 强化规划衔接</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_Toc67502378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- 106 -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"_Toc67502379" </w:instrText>
      </w:r>
      <w:r>
        <w:fldChar w:fldCharType="separate"/>
      </w:r>
      <w:r>
        <w:rPr>
          <w:rStyle w:val="12"/>
          <w:rFonts w:ascii="Times New Roman" w:hAnsi="Times New Roman" w:eastAsia="方正楷体_GBK" w:cs="Times New Roman"/>
          <w:color w:val="auto"/>
          <w:kern w:val="0"/>
          <w:sz w:val="28"/>
          <w:szCs w:val="28"/>
        </w:rPr>
        <w:t>第四节 强化要素保障</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_Toc67502379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- 106 -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 w:val="28"/>
          <w:szCs w:val="28"/>
        </w:rPr>
      </w:pPr>
      <w:r>
        <w:fldChar w:fldCharType="begin"/>
      </w:r>
      <w:r>
        <w:instrText xml:space="preserve"> HYPERLINK \l "_Toc67502380" </w:instrText>
      </w:r>
      <w:r>
        <w:fldChar w:fldCharType="separate"/>
      </w:r>
      <w:r>
        <w:rPr>
          <w:rStyle w:val="12"/>
          <w:rFonts w:ascii="Times New Roman" w:hAnsi="Times New Roman" w:eastAsia="方正楷体_GBK" w:cs="Times New Roman"/>
          <w:color w:val="auto"/>
          <w:kern w:val="0"/>
          <w:sz w:val="28"/>
          <w:szCs w:val="28"/>
        </w:rPr>
        <w:t>第五节 强化项目支撑</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_Toc67502380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- 107 -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tabs>
          <w:tab w:val="right" w:leader="dot" w:pos="8948"/>
        </w:tabs>
        <w:adjustRightInd w:val="0"/>
        <w:snapToGrid w:val="0"/>
        <w:spacing w:line="600" w:lineRule="exact"/>
        <w:ind w:left="420" w:leftChars="200" w:firstLine="420" w:firstLineChars="200"/>
        <w:rPr>
          <w:rFonts w:ascii="Times New Roman" w:hAnsi="Times New Roman" w:eastAsia="等线" w:cs="Times New Roman"/>
          <w:szCs w:val="22"/>
        </w:rPr>
      </w:pPr>
      <w:r>
        <w:fldChar w:fldCharType="begin"/>
      </w:r>
      <w:r>
        <w:instrText xml:space="preserve"> HYPERLINK \l "_Toc67502381" </w:instrText>
      </w:r>
      <w:r>
        <w:fldChar w:fldCharType="separate"/>
      </w:r>
      <w:r>
        <w:rPr>
          <w:rStyle w:val="12"/>
          <w:rFonts w:ascii="Times New Roman" w:hAnsi="Times New Roman" w:eastAsia="方正楷体_GBK" w:cs="Times New Roman"/>
          <w:color w:val="auto"/>
          <w:kern w:val="0"/>
          <w:sz w:val="28"/>
          <w:szCs w:val="28"/>
        </w:rPr>
        <w:t>第六节 强化评估考核</w:t>
      </w:r>
      <w:r>
        <w:rPr>
          <w:rFonts w:ascii="Times New Roman" w:hAnsi="Times New Roman" w:eastAsia="方正仿宋_GBK" w:cs="Times New Roman"/>
          <w:sz w:val="28"/>
          <w:szCs w:val="28"/>
        </w:rPr>
        <w:tab/>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PAGEREF _Toc67502381 \h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- 107 -</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fldChar w:fldCharType="end"/>
      </w:r>
    </w:p>
    <w:p>
      <w:pPr>
        <w:adjustRightInd w:val="0"/>
        <w:snapToGrid w:val="0"/>
        <w:spacing w:line="600" w:lineRule="exact"/>
        <w:ind w:firstLine="562" w:firstLineChars="200"/>
        <w:rPr>
          <w:rFonts w:ascii="Times New Roman" w:hAnsi="Times New Roman" w:eastAsia="方正仿宋_GBK" w:cs="Times New Roman"/>
          <w:sz w:val="32"/>
          <w:szCs w:val="22"/>
        </w:rPr>
      </w:pPr>
      <w:r>
        <w:rPr>
          <w:rFonts w:ascii="Times New Roman" w:hAnsi="Times New Roman" w:eastAsia="楷体" w:cs="Times New Roman"/>
          <w:b/>
          <w:bCs/>
          <w:sz w:val="28"/>
          <w:szCs w:val="28"/>
          <w:lang w:val="zh-CN"/>
        </w:rPr>
        <w:fldChar w:fldCharType="end"/>
      </w:r>
    </w:p>
    <w:p>
      <w:pPr>
        <w:ind w:left="640"/>
        <w:rPr>
          <w:rFonts w:ascii="Times New Roman" w:hAnsi="Times New Roman"/>
        </w:rPr>
        <w:sectPr>
          <w:footerReference r:id="rId12" w:type="default"/>
          <w:footerReference r:id="rId13" w:type="even"/>
          <w:pgSz w:w="11906" w:h="16838"/>
          <w:pgMar w:top="2098" w:right="1531" w:bottom="1701" w:left="1531" w:header="851" w:footer="992" w:gutter="0"/>
          <w:pgNumType w:start="1"/>
          <w:cols w:space="720" w:num="1"/>
          <w:docGrid w:type="lines" w:linePitch="312" w:charSpace="0"/>
        </w:sectPr>
      </w:pPr>
    </w:p>
    <w:p>
      <w:pPr>
        <w:adjustRightInd w:val="0"/>
        <w:snapToGrid w:val="0"/>
        <w:spacing w:line="6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本规划纲要根据党的十九届五中全会精神、《中共广东省委关于制定国民经济和社会发展第十四个五年规划和二〇三五年远景目标的建议》和《中共河源市委关于制定国民经济和社会发展第十四个五年规划和二〇三五年远景目标的建议》编制，重点明确“十四五”时期（</w:t>
      </w:r>
      <w:r>
        <w:rPr>
          <w:rFonts w:ascii="Times New Roman" w:hAnsi="Times New Roman" w:eastAsia="方正仿宋_GBK" w:cs="Times New Roman"/>
          <w:sz w:val="32"/>
          <w:szCs w:val="32"/>
        </w:rPr>
        <w:t>2021-2025年）新区经济社会发展的总体要求</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发展目标、谋划重大战略，部署重大任务，并对二〇三五年远景目标进行展望，是战略性、宏观性、政策性规划，是</w:t>
      </w:r>
      <w:r>
        <w:rPr>
          <w:rFonts w:hint="eastAsia" w:ascii="Times New Roman" w:hAnsi="Times New Roman" w:eastAsia="方正仿宋_GBK" w:cs="Times New Roman"/>
          <w:sz w:val="32"/>
          <w:szCs w:val="32"/>
        </w:rPr>
        <w:t>政府</w:t>
      </w:r>
      <w:r>
        <w:rPr>
          <w:rFonts w:ascii="Times New Roman" w:hAnsi="Times New Roman" w:eastAsia="方正仿宋_GBK" w:cs="Times New Roman"/>
          <w:sz w:val="32"/>
          <w:szCs w:val="32"/>
        </w:rPr>
        <w:t>履行经济调节、市场监管、社</w:t>
      </w:r>
      <w:r>
        <w:rPr>
          <w:rFonts w:hint="eastAsia" w:ascii="Times New Roman" w:hAnsi="Times New Roman" w:eastAsia="方正仿宋_GBK" w:cs="Times New Roman"/>
          <w:sz w:val="32"/>
          <w:szCs w:val="32"/>
        </w:rPr>
        <w:t>会管理、公共服务和生态环境保护职能的重要依据，是未来五年我区经济社会发展的宏伟蓝图和全区人民共同的行动纲领。</w:t>
      </w:r>
      <w:bookmarkStart w:id="0" w:name="_Toc59798182"/>
    </w:p>
    <w:p>
      <w:pPr>
        <w:keepNext/>
        <w:keepLines/>
        <w:adjustRightInd w:val="0"/>
        <w:snapToGrid w:val="0"/>
        <w:spacing w:before="156" w:beforeLines="50" w:after="156" w:afterLines="50" w:line="600" w:lineRule="exact"/>
        <w:jc w:val="center"/>
        <w:outlineLvl w:val="0"/>
        <w:rPr>
          <w:rFonts w:ascii="Times New Roman" w:hAnsi="Times New Roman" w:eastAsia="方正黑体_GBK" w:cs="Times New Roman"/>
          <w:bCs/>
          <w:kern w:val="44"/>
          <w:sz w:val="32"/>
          <w:szCs w:val="32"/>
          <w:lang w:val="zh-CN"/>
        </w:rPr>
      </w:pPr>
      <w:bookmarkStart w:id="1" w:name="_Toc61279504"/>
      <w:bookmarkStart w:id="2" w:name="_Toc67502314"/>
      <w:r>
        <w:rPr>
          <w:rFonts w:hint="eastAsia" w:ascii="Times New Roman" w:hAnsi="Times New Roman" w:eastAsia="方正黑体_GBK" w:cs="Times New Roman"/>
          <w:bCs/>
          <w:kern w:val="44"/>
          <w:sz w:val="32"/>
          <w:szCs w:val="32"/>
          <w:lang w:val="zh-CN"/>
        </w:rPr>
        <w:t>第一章 发展基础与发展环境</w:t>
      </w:r>
      <w:bookmarkEnd w:id="0"/>
      <w:bookmarkEnd w:id="1"/>
      <w:bookmarkEnd w:id="2"/>
    </w:p>
    <w:p>
      <w:pPr>
        <w:adjustRightInd w:val="0"/>
        <w:snapToGrid w:val="0"/>
        <w:spacing w:line="5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十三五”时期，我区坚持以习近平新时代中国特色社会主义思想为指引，全面贯彻落实党的十九大和十九届二中、三中、四中、五中全会精神，深入学习贯彻习近平总书记对广东重要讲话和重要指示批示精神，认真落实省委十二届历次全会和李希书记关于河源工作的讲话精神，按照市委、市政府的工作部署，坚持稳中求进工作总基调，统筹推进“</w:t>
      </w:r>
      <w:bookmarkStart w:id="3" w:name="_Hlk62147118"/>
      <w:r>
        <w:rPr>
          <w:rFonts w:hint="eastAsia" w:ascii="Times New Roman" w:hAnsi="Times New Roman" w:eastAsia="方正仿宋_GBK" w:cs="Times New Roman"/>
          <w:sz w:val="32"/>
          <w:szCs w:val="32"/>
        </w:rPr>
        <w:t>五位一体</w:t>
      </w:r>
      <w:bookmarkEnd w:id="3"/>
      <w:r>
        <w:rPr>
          <w:rFonts w:hint="eastAsia" w:ascii="Times New Roman" w:hAnsi="Times New Roman" w:eastAsia="方正仿宋_GBK" w:cs="Times New Roman"/>
          <w:sz w:val="32"/>
          <w:szCs w:val="32"/>
        </w:rPr>
        <w:t>”总体布局、协调推进“</w:t>
      </w:r>
      <w:bookmarkStart w:id="4" w:name="_Hlk62147127"/>
      <w:r>
        <w:rPr>
          <w:rFonts w:hint="eastAsia" w:ascii="Times New Roman" w:hAnsi="Times New Roman" w:eastAsia="方正仿宋_GBK" w:cs="Times New Roman"/>
          <w:sz w:val="32"/>
          <w:szCs w:val="32"/>
        </w:rPr>
        <w:t>四个全面</w:t>
      </w:r>
      <w:bookmarkEnd w:id="4"/>
      <w:r>
        <w:rPr>
          <w:rFonts w:hint="eastAsia" w:ascii="Times New Roman" w:hAnsi="Times New Roman" w:eastAsia="方正仿宋_GBK" w:cs="Times New Roman"/>
          <w:sz w:val="32"/>
          <w:szCs w:val="32"/>
        </w:rPr>
        <w:t>”战略布局，牢固树立创新、协调、绿色、开放、共享发展理念，全域全面融入粤港澳大湾区和深圳先行示范区建设，全力推进“三点三带四组团”战略布局，经济社会发展取得全面进步。</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5" w:name="_Toc67502315"/>
      <w:bookmarkStart w:id="6" w:name="_Toc61279505"/>
      <w:bookmarkStart w:id="7" w:name="_Toc59798183"/>
      <w:r>
        <w:rPr>
          <w:rFonts w:hint="eastAsia" w:ascii="Times New Roman" w:hAnsi="Times New Roman" w:eastAsia="方正楷体_GBK" w:cs="Times New Roman"/>
          <w:kern w:val="0"/>
          <w:sz w:val="32"/>
          <w:szCs w:val="32"/>
        </w:rPr>
        <w:t>第一节 发展基础</w:t>
      </w:r>
      <w:bookmarkEnd w:id="5"/>
      <w:bookmarkEnd w:id="6"/>
      <w:bookmarkEnd w:id="7"/>
    </w:p>
    <w:p>
      <w:pPr>
        <w:adjustRightInd w:val="0"/>
        <w:snapToGrid w:val="0"/>
        <w:spacing w:line="6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“十三五”时期，在河源市委</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市政府的正确领导下，新区人民攻坚克难、砥砺奋进，有效应对一系列风险挑战，统筹做好稳增长、促改革、调结构、惠民生、防风险、保稳定各项工作，决胜全面建成小康社会取得决定性成就，为“十四五”发展打下坚实基础。</w:t>
      </w:r>
    </w:p>
    <w:p>
      <w:pPr>
        <w:adjustRightInd w:val="0"/>
        <w:snapToGrid w:val="0"/>
        <w:spacing w:line="60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经济实力稳步提升。</w:t>
      </w:r>
      <w:r>
        <w:rPr>
          <w:rFonts w:hint="eastAsia" w:ascii="Times New Roman" w:hAnsi="Times New Roman" w:eastAsia="方正仿宋_GBK" w:cs="Times New Roman"/>
          <w:sz w:val="32"/>
          <w:szCs w:val="32"/>
        </w:rPr>
        <w:t>“十三五”时期，全区地区生产总值（GDP）从2015年的46.59亿元增加到2020年的59.17亿元，年均增长8.4%，其中2019年增速位居全市各县（区）首位。固定资产投资快速增长，年均增速为62.5%，成为拉动社会经济发展的主导力量，这与新区在“十三五”期间大力推动基础设施、园区及项目建设紧密相关。社会消费品零售总额年均增长</w:t>
      </w:r>
      <w:r>
        <w:rPr>
          <w:rFonts w:ascii="Times New Roman" w:hAnsi="Times New Roman" w:eastAsia="方正仿宋_GBK" w:cs="Times New Roman"/>
          <w:sz w:val="32"/>
          <w:szCs w:val="32"/>
        </w:rPr>
        <w:t>8</w:t>
      </w:r>
      <w:r>
        <w:rPr>
          <w:rFonts w:hint="eastAsia" w:ascii="Times New Roman" w:hAnsi="Times New Roman" w:eastAsia="方正仿宋_GBK" w:cs="Times New Roman"/>
          <w:sz w:val="32"/>
          <w:szCs w:val="32"/>
        </w:rPr>
        <w:t>%，总体上与新区人口和经济发展保持一致。地方一般公共预算收入从2016年的1.27亿元增加到2020年的3.51亿元，年均增长30.5%。全体居民人均可支配收入2</w:t>
      </w:r>
      <w:r>
        <w:rPr>
          <w:rFonts w:ascii="Times New Roman" w:hAnsi="Times New Roman" w:eastAsia="方正仿宋_GBK" w:cs="Times New Roman"/>
          <w:sz w:val="32"/>
          <w:szCs w:val="32"/>
        </w:rPr>
        <w:t>020</w:t>
      </w:r>
      <w:r>
        <w:rPr>
          <w:rFonts w:hint="eastAsia" w:ascii="Times New Roman" w:hAnsi="Times New Roman" w:eastAsia="方正仿宋_GBK" w:cs="Times New Roman"/>
          <w:sz w:val="32"/>
          <w:szCs w:val="32"/>
        </w:rPr>
        <w:t>年达到2.24万元，年均增长7.4%。三次产业结构比例由</w:t>
      </w:r>
      <w:r>
        <w:rPr>
          <w:rFonts w:ascii="Times New Roman" w:hAnsi="Times New Roman" w:eastAsia="方正仿宋_GBK" w:cs="Times New Roman"/>
          <w:sz w:val="32"/>
          <w:szCs w:val="32"/>
        </w:rPr>
        <w:t>2016年的11.7:45.4:42.9调整为6.7:35.8:57.5，第三产业占比提升14.6个百分点。规模以上工业增加值年均增长4.9%，第一产业增加值年均增长3.6%，第三产业增加值年均增长10.7%。</w:t>
      </w:r>
      <w:r>
        <w:rPr>
          <w:rFonts w:hint="eastAsia" w:ascii="Times New Roman" w:hAnsi="Times New Roman" w:eastAsia="方正仿宋_GBK" w:cs="Times New Roman"/>
          <w:sz w:val="32"/>
          <w:szCs w:val="32"/>
        </w:rPr>
        <w:t>产业集聚步伐加快，大数据、高端装备制造、汽车零部件、医药健康、新材料等主导产业不断集聚</w:t>
      </w:r>
      <w:r>
        <w:rPr>
          <w:rFonts w:ascii="Times New Roman" w:hAnsi="Times New Roman" w:eastAsia="方正仿宋_GBK" w:cs="Times New Roman"/>
          <w:sz w:val="32"/>
          <w:szCs w:val="32"/>
        </w:rPr>
        <w:t>。</w:t>
      </w:r>
    </w:p>
    <w:p>
      <w:pPr>
        <w:adjustRightInd w:val="0"/>
        <w:snapToGrid w:val="0"/>
        <w:spacing w:line="60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“融湾”工作扎实推进。</w:t>
      </w:r>
      <w:r>
        <w:rPr>
          <w:rFonts w:hint="eastAsia" w:ascii="Times New Roman" w:hAnsi="Times New Roman" w:eastAsia="方正仿宋_GBK" w:cs="Times New Roman"/>
          <w:i w:val="0"/>
          <w:iCs w:val="0"/>
          <w:sz w:val="32"/>
          <w:szCs w:val="32"/>
        </w:rPr>
        <w:t>在全市各县区率先谋划推动“融湾”工作，编制实施“融湾”第一</w:t>
      </w:r>
      <w:r>
        <w:rPr>
          <w:rFonts w:hint="eastAsia" w:ascii="Times New Roman" w:hAnsi="Times New Roman" w:eastAsia="方正仿宋_GBK" w:cs="Times New Roman"/>
          <w:sz w:val="32"/>
          <w:szCs w:val="32"/>
        </w:rPr>
        <w:t>个五年规划（</w:t>
      </w:r>
      <w:r>
        <w:rPr>
          <w:rFonts w:ascii="Times New Roman" w:hAnsi="Times New Roman" w:eastAsia="方正仿宋_GBK" w:cs="Times New Roman"/>
          <w:sz w:val="32"/>
          <w:szCs w:val="32"/>
        </w:rPr>
        <w:t>2019—2023年）。</w:t>
      </w:r>
      <w:r>
        <w:rPr>
          <w:rFonts w:hint="eastAsia" w:ascii="Times New Roman" w:hAnsi="Times New Roman" w:eastAsia="方正仿宋_GBK" w:cs="Times New Roman"/>
          <w:sz w:val="32"/>
          <w:szCs w:val="32"/>
        </w:rPr>
        <w:t>成功签约“双区”产业项目</w:t>
      </w:r>
      <w:r>
        <w:rPr>
          <w:rFonts w:ascii="Times New Roman" w:hAnsi="Times New Roman" w:eastAsia="方正仿宋_GBK" w:cs="Times New Roman"/>
          <w:sz w:val="32"/>
          <w:szCs w:val="32"/>
        </w:rPr>
        <w:t>81个1424.6亿元、动工投产项目18个258.9亿元。完善交通设施，推进“融湾”硬联通，</w:t>
      </w:r>
      <w:r>
        <w:rPr>
          <w:rFonts w:hint="eastAsia" w:ascii="Times New Roman" w:hAnsi="Times New Roman" w:eastAsia="方正仿宋_GBK" w:cs="Times New Roman"/>
          <w:sz w:val="32"/>
          <w:szCs w:val="32"/>
        </w:rPr>
        <w:t>累计完成交通基础设施投资</w:t>
      </w:r>
      <w:r>
        <w:rPr>
          <w:rFonts w:ascii="Times New Roman" w:hAnsi="Times New Roman" w:eastAsia="方正仿宋_GBK" w:cs="Times New Roman"/>
          <w:sz w:val="32"/>
          <w:szCs w:val="32"/>
        </w:rPr>
        <w:t>19.04亿元，赣深高铁河源东站等外联交通和东江东路、职院南路等城市干道稳步建设，高铁河源东站综合交通枢纽工程等启动建设。优化体制机制，推进“融湾”软联通，积极谋划“</w:t>
      </w:r>
      <w:bookmarkStart w:id="8" w:name="_Hlk62147161"/>
      <w:r>
        <w:rPr>
          <w:rFonts w:ascii="Times New Roman" w:hAnsi="Times New Roman" w:eastAsia="方正仿宋_GBK" w:cs="Times New Roman"/>
          <w:sz w:val="32"/>
          <w:szCs w:val="32"/>
        </w:rPr>
        <w:t>深河特别合作区</w:t>
      </w:r>
      <w:bookmarkEnd w:id="8"/>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，深河科技园启动规划</w:t>
      </w:r>
      <w:r>
        <w:rPr>
          <w:rFonts w:ascii="Times New Roman" w:hAnsi="Times New Roman" w:eastAsia="方正仿宋_GBK" w:cs="Times New Roman"/>
          <w:sz w:val="32"/>
          <w:szCs w:val="32"/>
        </w:rPr>
        <w:t>，深化“放管服”改革，加快“数字政府”建设。突出绿色引领，推进生态“融湾”，发展特色农业，绿色生态优势进一步巩固提升。</w:t>
      </w:r>
    </w:p>
    <w:p>
      <w:pPr>
        <w:adjustRightInd w:val="0"/>
        <w:snapToGrid w:val="0"/>
        <w:spacing w:line="60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发展动能持续增强。</w:t>
      </w:r>
      <w:r>
        <w:rPr>
          <w:rFonts w:hint="eastAsia" w:ascii="Times New Roman" w:hAnsi="Times New Roman" w:eastAsia="方正仿宋_GBK" w:cs="Times New Roman"/>
          <w:sz w:val="32"/>
          <w:szCs w:val="32"/>
        </w:rPr>
        <w:t>深入实施创新驱动发展战略，不断加快科技成果转化，推进新旧动能转换，优化科技管理职能，加快科技创新突破式发展。“十三五”期间申请专利</w:t>
      </w:r>
      <w:r>
        <w:rPr>
          <w:rFonts w:ascii="Times New Roman" w:hAnsi="Times New Roman" w:eastAsia="方正仿宋_GBK" w:cs="Times New Roman"/>
          <w:sz w:val="32"/>
          <w:szCs w:val="32"/>
        </w:rPr>
        <w:t>725件，专利授权量达453件</w:t>
      </w:r>
      <w:r>
        <w:rPr>
          <w:rFonts w:hint="eastAsia" w:ascii="Times New Roman" w:hAnsi="Times New Roman" w:eastAsia="方正仿宋_GBK" w:cs="Times New Roman"/>
          <w:sz w:val="32"/>
          <w:szCs w:val="32"/>
        </w:rPr>
        <w:t>。截至2020年底，新区共有高新技术企业19家、科技型中小企业</w:t>
      </w:r>
      <w:r>
        <w:rPr>
          <w:rFonts w:ascii="Times New Roman" w:hAnsi="Times New Roman" w:eastAsia="方正仿宋_GBK" w:cs="Times New Roman"/>
          <w:sz w:val="32"/>
          <w:szCs w:val="32"/>
        </w:rPr>
        <w:t>35家</w:t>
      </w:r>
      <w:r>
        <w:rPr>
          <w:rFonts w:hint="eastAsia" w:ascii="Times New Roman" w:hAnsi="Times New Roman" w:eastAsia="方正仿宋_GBK" w:cs="Times New Roman"/>
          <w:sz w:val="32"/>
          <w:szCs w:val="32"/>
        </w:rPr>
        <w:t>，省级工程技术研究中心5家，市级工程技术研究中心14家，拥有省级企业技术中心</w:t>
      </w:r>
      <w:r>
        <w:rPr>
          <w:rFonts w:ascii="Times New Roman" w:hAnsi="Times New Roman" w:eastAsia="方正仿宋_GBK" w:cs="Times New Roman"/>
          <w:sz w:val="32"/>
          <w:szCs w:val="32"/>
        </w:rPr>
        <w:t>1家，市级企业技术中心13家</w:t>
      </w:r>
      <w:r>
        <w:rPr>
          <w:rFonts w:hint="eastAsia" w:ascii="Times New Roman" w:hAnsi="Times New Roman" w:eastAsia="方正仿宋_GBK" w:cs="Times New Roman"/>
          <w:sz w:val="32"/>
          <w:szCs w:val="32"/>
        </w:rPr>
        <w:t>，先后与河源职业技术学院、深圳清华大学研究院、</w:t>
      </w:r>
      <w:r>
        <w:rPr>
          <w:rFonts w:ascii="Times New Roman" w:hAnsi="Times New Roman" w:eastAsia="方正仿宋_GBK" w:cs="Times New Roman"/>
          <w:sz w:val="32"/>
          <w:szCs w:val="32"/>
        </w:rPr>
        <w:t>东莞理工大学等高校建立战略合作关系。重庆猪八戒网络有限公司成功落地，协助企业解决产业化过程中的重大技术难题，有力支撑推动产业创新发展。园区建设提质增效</w:t>
      </w:r>
      <w:r>
        <w:rPr>
          <w:rFonts w:hint="eastAsia" w:ascii="Times New Roman" w:hAnsi="Times New Roman" w:eastAsia="方正仿宋_GBK" w:cs="Times New Roman"/>
          <w:sz w:val="32"/>
          <w:szCs w:val="32"/>
        </w:rPr>
        <w:t>，新区产业园成为粤东粤西粤北</w:t>
      </w:r>
      <w:r>
        <w:rPr>
          <w:rFonts w:ascii="Times New Roman" w:hAnsi="Times New Roman" w:eastAsia="方正仿宋_GBK" w:cs="Times New Roman"/>
          <w:sz w:val="32"/>
          <w:szCs w:val="32"/>
        </w:rPr>
        <w:t>12个新区中首个省级产</w:t>
      </w:r>
      <w:r>
        <w:rPr>
          <w:rFonts w:hint="eastAsia" w:ascii="Times New Roman" w:hAnsi="Times New Roman" w:eastAsia="方正仿宋_GBK" w:cs="Times New Roman"/>
          <w:sz w:val="32"/>
          <w:szCs w:val="32"/>
        </w:rPr>
        <w:t>业转移工业园和省级高新技术产业开发区。累计签约项目</w:t>
      </w:r>
      <w:r>
        <w:rPr>
          <w:rFonts w:ascii="Times New Roman" w:hAnsi="Times New Roman" w:eastAsia="方正仿宋_GBK" w:cs="Times New Roman"/>
          <w:sz w:val="32"/>
          <w:szCs w:val="32"/>
        </w:rPr>
        <w:t>101个2290亿元，落户项目37个605亿元、动工投产项目31个289亿元</w:t>
      </w:r>
      <w:r>
        <w:rPr>
          <w:rFonts w:hint="eastAsia" w:ascii="Times New Roman" w:hAnsi="Times New Roman" w:eastAsia="方正仿宋_GBK" w:cs="Times New Roman"/>
          <w:sz w:val="32"/>
          <w:szCs w:val="32"/>
        </w:rPr>
        <w:t>，新增规上工业企业</w:t>
      </w:r>
      <w:r>
        <w:rPr>
          <w:rFonts w:ascii="Times New Roman" w:hAnsi="Times New Roman" w:eastAsia="方正仿宋_GBK" w:cs="Times New Roman"/>
          <w:sz w:val="32"/>
          <w:szCs w:val="32"/>
        </w:rPr>
        <w:t>11家。</w:t>
      </w:r>
    </w:p>
    <w:p>
      <w:pPr>
        <w:adjustRightInd w:val="0"/>
        <w:snapToGrid w:val="0"/>
        <w:spacing w:line="60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三大攻坚战绩突出。</w:t>
      </w:r>
      <w:r>
        <w:rPr>
          <w:rFonts w:hint="eastAsia" w:ascii="Times New Roman" w:hAnsi="Times New Roman" w:eastAsia="方正仿宋_GBK" w:cs="Times New Roman"/>
          <w:sz w:val="32"/>
          <w:szCs w:val="32"/>
        </w:rPr>
        <w:t>着力防范化解重大风险。金融风险防控机制逐步建立，全面规范政府债务管理，有力防范和处置非法集资等涉众型金融风险，严格落实房地产市场调控政策措施。消防、交通运输、森林防火、食品药品和矿产资源等领域安全生产隐患和突发事件风险隐患排查整治切实开展，防灾减灾救灾能力不断提升。社会治安防控体系不断完善，建成使用首个智慧城市管理指挥中心，全面推行“一村（居）一辅警”“一村居一法律顾问”，社会矛盾排查预警化解机制不断健全。精准扶贫成效明显。大力开展就业扶贫、消费扶贫等帮扶措施，多举措强化“</w:t>
      </w:r>
      <w:bookmarkStart w:id="9" w:name="_Hlk62147194"/>
      <w:r>
        <w:rPr>
          <w:rFonts w:hint="eastAsia" w:ascii="Times New Roman" w:hAnsi="Times New Roman" w:eastAsia="方正仿宋_GBK" w:cs="Times New Roman"/>
          <w:sz w:val="32"/>
          <w:szCs w:val="32"/>
        </w:rPr>
        <w:t>两不愁三保障</w:t>
      </w:r>
      <w:bookmarkEnd w:id="9"/>
      <w:r>
        <w:rPr>
          <w:rFonts w:hint="eastAsia" w:ascii="Times New Roman" w:hAnsi="Times New Roman" w:eastAsia="方正仿宋_GBK" w:cs="Times New Roman"/>
          <w:sz w:val="32"/>
          <w:szCs w:val="32"/>
        </w:rPr>
        <w:t>一相当”落地落实，贫困村基础设施、供水、供电等各项基础设施不断完善。农村危房改造高效落实，累计完成危房改造</w:t>
      </w:r>
      <w:r>
        <w:rPr>
          <w:rFonts w:ascii="Times New Roman" w:hAnsi="Times New Roman" w:eastAsia="方正仿宋_GBK" w:cs="Times New Roman"/>
          <w:sz w:val="32"/>
          <w:szCs w:val="32"/>
        </w:rPr>
        <w:t>318户</w:t>
      </w:r>
      <w:r>
        <w:rPr>
          <w:rFonts w:hint="eastAsia" w:ascii="Times New Roman" w:hAnsi="Times New Roman" w:eastAsia="方正仿宋_GBK" w:cs="Times New Roman"/>
          <w:sz w:val="32"/>
          <w:szCs w:val="32"/>
        </w:rPr>
        <w:t>，安全住房政策</w:t>
      </w:r>
      <w:r>
        <w:rPr>
          <w:rFonts w:ascii="Times New Roman" w:hAnsi="Times New Roman" w:eastAsia="方正仿宋_GBK" w:cs="Times New Roman"/>
          <w:sz w:val="32"/>
          <w:szCs w:val="32"/>
        </w:rPr>
        <w:t>100%落实</w:t>
      </w:r>
      <w:r>
        <w:rPr>
          <w:rFonts w:hint="eastAsia" w:ascii="Times New Roman" w:hAnsi="Times New Roman" w:eastAsia="方正仿宋_GBK" w:cs="Times New Roman"/>
          <w:sz w:val="32"/>
          <w:szCs w:val="32"/>
        </w:rPr>
        <w:t>。产业扶贫深入开展，“企业</w:t>
      </w:r>
      <w:r>
        <w:rPr>
          <w:rFonts w:ascii="Times New Roman" w:hAnsi="Times New Roman" w:eastAsia="方正仿宋_GBK" w:cs="Times New Roman"/>
          <w:sz w:val="32"/>
          <w:szCs w:val="32"/>
        </w:rPr>
        <w:t>+基地+贫困户”产业化扶贫模式有序推广，</w:t>
      </w:r>
      <w:r>
        <w:rPr>
          <w:rFonts w:hint="eastAsia" w:ascii="Times New Roman" w:hAnsi="Times New Roman" w:eastAsia="方正仿宋_GBK" w:cs="Times New Roman"/>
          <w:sz w:val="32"/>
          <w:szCs w:val="32"/>
        </w:rPr>
        <w:t>实施产业扶贫项目36个，完成资金投入6462.9万元。就业扶贫工作有效推进，有劳动能力且有就业意愿贫困户实现就业284人。贫困户</w:t>
      </w:r>
      <w:r>
        <w:rPr>
          <w:rFonts w:ascii="Times New Roman" w:hAnsi="Times New Roman" w:eastAsia="方正仿宋_GBK" w:cs="Times New Roman"/>
          <w:sz w:val="32"/>
          <w:szCs w:val="32"/>
        </w:rPr>
        <w:t>622户1504人达到“八有”标准</w:t>
      </w:r>
      <w:r>
        <w:rPr>
          <w:rFonts w:hint="eastAsia" w:ascii="Times New Roman" w:hAnsi="Times New Roman" w:eastAsia="方正仿宋_GBK" w:cs="Times New Roman"/>
          <w:sz w:val="32"/>
          <w:szCs w:val="32"/>
        </w:rPr>
        <w:t>并</w:t>
      </w:r>
      <w:r>
        <w:rPr>
          <w:rFonts w:ascii="Times New Roman" w:hAnsi="Times New Roman" w:eastAsia="方正仿宋_GBK" w:cs="Times New Roman"/>
          <w:sz w:val="32"/>
          <w:szCs w:val="32"/>
        </w:rPr>
        <w:t>实现全面脱贫，4个省定贫困村全面出列</w:t>
      </w:r>
      <w:r>
        <w:rPr>
          <w:rFonts w:hint="eastAsia" w:ascii="Times New Roman" w:hAnsi="Times New Roman" w:eastAsia="方正仿宋_GBK" w:cs="Times New Roman"/>
          <w:sz w:val="32"/>
          <w:szCs w:val="32"/>
        </w:rPr>
        <w:t>，有劳动能力贫困人口人均可支配收入增至</w:t>
      </w:r>
      <w:r>
        <w:rPr>
          <w:rFonts w:ascii="Times New Roman" w:hAnsi="Times New Roman" w:eastAsia="方正仿宋_GBK" w:cs="Times New Roman"/>
          <w:sz w:val="32"/>
          <w:szCs w:val="32"/>
        </w:rPr>
        <w:t>18952元</w:t>
      </w:r>
      <w:r>
        <w:rPr>
          <w:rFonts w:hint="eastAsia" w:ascii="Times New Roman" w:hAnsi="Times New Roman" w:eastAsia="方正仿宋_GBK" w:cs="Times New Roman"/>
          <w:sz w:val="32"/>
          <w:szCs w:val="32"/>
        </w:rPr>
        <w:t>。污染防治稳步推进。持续深入开展生态环保督察工作，认真落实河长制，将水源保护区全部纳入河长制工作范围内，建立健全区、办事处、村委三级“河长制</w:t>
      </w:r>
      <w:r>
        <w:rPr>
          <w:rFonts w:ascii="Times New Roman" w:hAnsi="Times New Roman" w:eastAsia="方正仿宋_GBK" w:cs="Times New Roman"/>
          <w:sz w:val="32"/>
          <w:szCs w:val="32"/>
        </w:rPr>
        <w:t>+段长制”治水提质新体系。</w:t>
      </w:r>
      <w:r>
        <w:rPr>
          <w:rFonts w:hint="eastAsia" w:ascii="Times New Roman" w:hAnsi="Times New Roman" w:eastAsia="方正仿宋_GBK" w:cs="Times New Roman"/>
          <w:sz w:val="32"/>
          <w:szCs w:val="32"/>
        </w:rPr>
        <w:t>大气环境综合整治“五大污染”工程扎实推进，</w:t>
      </w:r>
      <w:r>
        <w:rPr>
          <w:rFonts w:ascii="Times New Roman" w:hAnsi="Times New Roman" w:eastAsia="方正仿宋_GBK" w:cs="Times New Roman"/>
          <w:sz w:val="32"/>
          <w:szCs w:val="32"/>
        </w:rPr>
        <w:t>20</w:t>
      </w:r>
      <w:r>
        <w:rPr>
          <w:rFonts w:hint="eastAsia" w:ascii="Times New Roman" w:hAnsi="Times New Roman" w:eastAsia="方正仿宋_GBK" w:cs="Times New Roman"/>
          <w:sz w:val="32"/>
          <w:szCs w:val="32"/>
        </w:rPr>
        <w:t>20</w:t>
      </w:r>
      <w:r>
        <w:rPr>
          <w:rFonts w:ascii="Times New Roman" w:hAnsi="Times New Roman" w:eastAsia="方正仿宋_GBK" w:cs="Times New Roman"/>
          <w:sz w:val="32"/>
          <w:szCs w:val="32"/>
        </w:rPr>
        <w:t>年我区空气质量指标达标</w:t>
      </w:r>
      <w:r>
        <w:rPr>
          <w:rFonts w:hint="eastAsia" w:ascii="Times New Roman" w:hAnsi="Times New Roman" w:eastAsia="方正仿宋_GBK" w:cs="Times New Roman"/>
          <w:sz w:val="32"/>
          <w:szCs w:val="32"/>
        </w:rPr>
        <w:t>率达到98.9%</w:t>
      </w:r>
      <w:r>
        <w:rPr>
          <w:rFonts w:ascii="Times New Roman" w:hAnsi="Times New Roman" w:eastAsia="方正仿宋_GBK" w:cs="Times New Roman"/>
          <w:sz w:val="32"/>
          <w:szCs w:val="32"/>
        </w:rPr>
        <w:t>。城市集中式饮用水源达标率100%。建有古竹（汇骏）污水处理厂和临江工业园污水处理厂，</w:t>
      </w:r>
      <w:r>
        <w:rPr>
          <w:rFonts w:hint="eastAsia" w:ascii="Times New Roman" w:hAnsi="Times New Roman" w:eastAsia="方正仿宋_GBK" w:cs="Times New Roman"/>
          <w:sz w:val="32"/>
          <w:szCs w:val="32"/>
        </w:rPr>
        <w:t>完成临江、古竹镇</w:t>
      </w:r>
      <w:r>
        <w:rPr>
          <w:rFonts w:ascii="Times New Roman" w:hAnsi="Times New Roman" w:eastAsia="方正仿宋_GBK" w:cs="Times New Roman"/>
          <w:sz w:val="32"/>
          <w:szCs w:val="32"/>
        </w:rPr>
        <w:t>28个行政村农村生活污</w:t>
      </w:r>
      <w:r>
        <w:rPr>
          <w:rFonts w:hint="eastAsia" w:ascii="Times New Roman" w:hAnsi="Times New Roman" w:eastAsia="方正仿宋_GBK" w:cs="Times New Roman"/>
          <w:sz w:val="32"/>
          <w:szCs w:val="32"/>
        </w:rPr>
        <w:t>水处理设施建设，</w:t>
      </w:r>
      <w:r>
        <w:rPr>
          <w:rFonts w:ascii="Times New Roman" w:hAnsi="Times New Roman" w:eastAsia="方正仿宋_GBK" w:cs="Times New Roman"/>
          <w:sz w:val="32"/>
          <w:szCs w:val="32"/>
        </w:rPr>
        <w:t>城镇生活污水处理率达到70%，中水回用率达到10%。20</w:t>
      </w:r>
      <w:r>
        <w:rPr>
          <w:rFonts w:hint="eastAsia" w:ascii="Times New Roman" w:hAnsi="Times New Roman" w:eastAsia="方正仿宋_GBK" w:cs="Times New Roman"/>
          <w:sz w:val="32"/>
          <w:szCs w:val="32"/>
        </w:rPr>
        <w:t>20</w:t>
      </w:r>
      <w:r>
        <w:rPr>
          <w:rFonts w:ascii="Times New Roman" w:hAnsi="Times New Roman" w:eastAsia="方正仿宋_GBK" w:cs="Times New Roman"/>
          <w:sz w:val="32"/>
          <w:szCs w:val="32"/>
        </w:rPr>
        <w:t>年工业废水排放达标率达到</w:t>
      </w:r>
      <w:r>
        <w:rPr>
          <w:rFonts w:hint="eastAsia" w:ascii="Times New Roman" w:hAnsi="Times New Roman" w:eastAsia="方正仿宋_GBK" w:cs="Times New Roman"/>
          <w:sz w:val="32"/>
          <w:szCs w:val="32"/>
        </w:rPr>
        <w:t>100</w:t>
      </w:r>
      <w:r>
        <w:rPr>
          <w:rFonts w:ascii="Times New Roman" w:hAnsi="Times New Roman" w:eastAsia="方正仿宋_GBK" w:cs="Times New Roman"/>
          <w:sz w:val="32"/>
          <w:szCs w:val="32"/>
        </w:rPr>
        <w:t>%，放射性废源、废物收储率、城镇生</w:t>
      </w:r>
      <w:r>
        <w:rPr>
          <w:rFonts w:hint="eastAsia" w:ascii="Times New Roman" w:hAnsi="Times New Roman" w:eastAsia="方正仿宋_GBK" w:cs="Times New Roman"/>
          <w:sz w:val="32"/>
          <w:szCs w:val="32"/>
        </w:rPr>
        <w:t>活垃圾无害化处理率、工业固体废物综合利用率、重点监管单位危险废物安全处置率均达到</w:t>
      </w:r>
      <w:r>
        <w:rPr>
          <w:rFonts w:ascii="Times New Roman" w:hAnsi="Times New Roman" w:eastAsia="方正仿宋_GBK" w:cs="Times New Roman"/>
          <w:sz w:val="32"/>
          <w:szCs w:val="32"/>
        </w:rPr>
        <w:t>100%</w:t>
      </w:r>
      <w:r>
        <w:rPr>
          <w:rFonts w:hint="eastAsia" w:ascii="Times New Roman" w:hAnsi="Times New Roman" w:eastAsia="方正仿宋_GBK" w:cs="Times New Roman"/>
          <w:sz w:val="32"/>
          <w:szCs w:val="32"/>
        </w:rPr>
        <w:t>，农村生活垃圾分类减量、资源化利用比例达</w:t>
      </w:r>
      <w:r>
        <w:rPr>
          <w:rFonts w:ascii="Times New Roman" w:hAnsi="Times New Roman" w:eastAsia="方正仿宋_GBK" w:cs="Times New Roman"/>
          <w:sz w:val="32"/>
          <w:szCs w:val="32"/>
        </w:rPr>
        <w:t>50%。</w:t>
      </w:r>
      <w:r>
        <w:rPr>
          <w:rFonts w:hint="eastAsia" w:ascii="Times New Roman" w:hAnsi="Times New Roman" w:eastAsia="方正仿宋_GBK" w:cs="Times New Roman"/>
          <w:sz w:val="32"/>
          <w:szCs w:val="32"/>
        </w:rPr>
        <w:t>完成七寨垃圾填埋场土壤环境风险隐患排查。</w:t>
      </w:r>
      <w:r>
        <w:rPr>
          <w:rFonts w:ascii="Times New Roman" w:hAnsi="Times New Roman" w:eastAsia="方正仿宋_GBK" w:cs="Times New Roman"/>
          <w:sz w:val="32"/>
          <w:szCs w:val="32"/>
        </w:rPr>
        <w:t>森林覆盖率达62.</w:t>
      </w:r>
      <w:r>
        <w:rPr>
          <w:rFonts w:hint="eastAsia" w:ascii="Times New Roman" w:hAnsi="Times New Roman" w:eastAsia="方正仿宋_GBK" w:cs="Times New Roman"/>
          <w:sz w:val="32"/>
          <w:szCs w:val="32"/>
        </w:rPr>
        <w:t>16</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柏埔河碧道省级试点项目投入使用，生态环保城市会客厅、东江东岸碧道工程（紫金桥至胜利大桥段）等项目落地建设。</w:t>
      </w:r>
    </w:p>
    <w:p>
      <w:pPr>
        <w:adjustRightInd w:val="0"/>
        <w:snapToGrid w:val="0"/>
        <w:spacing w:line="60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“四组团”建设提效破局。</w:t>
      </w:r>
      <w:r>
        <w:rPr>
          <w:rFonts w:hint="eastAsia" w:ascii="Times New Roman" w:hAnsi="Times New Roman" w:eastAsia="方正仿宋_GBK" w:cs="Times New Roman"/>
          <w:sz w:val="32"/>
          <w:szCs w:val="32"/>
        </w:rPr>
        <w:t>“三点三带四组团”战略布局正由“蓝图”变为“实景”，城市功能品质不断提升。滨江都市经济带加速成型，绿色发展的底色不断擦亮。土地房屋征收、招商引资、项目建设“三大攻坚”行动成效显著，城市建成区从</w:t>
      </w:r>
      <w:r>
        <w:rPr>
          <w:rFonts w:ascii="Times New Roman" w:hAnsi="Times New Roman" w:eastAsia="方正仿宋_GBK" w:cs="Times New Roman"/>
          <w:sz w:val="32"/>
          <w:szCs w:val="32"/>
        </w:rPr>
        <w:t>2平方公里拓展到8平方</w:t>
      </w:r>
      <w:r>
        <w:rPr>
          <w:rFonts w:hint="eastAsia" w:ascii="Times New Roman" w:hAnsi="Times New Roman" w:eastAsia="方正仿宋_GBK" w:cs="Times New Roman"/>
          <w:sz w:val="32"/>
          <w:szCs w:val="32"/>
        </w:rPr>
        <w:t>公里，常住人口增长到</w:t>
      </w:r>
      <w:r>
        <w:rPr>
          <w:rFonts w:ascii="Times New Roman" w:hAnsi="Times New Roman" w:eastAsia="方正仿宋_GBK" w:cs="Times New Roman"/>
          <w:sz w:val="32"/>
          <w:szCs w:val="32"/>
        </w:rPr>
        <w:t>18万人，城镇化率达67.7%</w:t>
      </w:r>
      <w:r>
        <w:rPr>
          <w:rFonts w:hint="eastAsia" w:ascii="Times New Roman" w:hAnsi="Times New Roman" w:eastAsia="方正仿宋_GBK" w:cs="Times New Roman"/>
          <w:sz w:val="32"/>
          <w:szCs w:val="32"/>
        </w:rPr>
        <w:t>。入选第三批国家智慧城市试点，城市综合承载力大幅提升。城市起步区组团方面，东江东路北段、职院南路、凤凰路等</w:t>
      </w:r>
      <w:r>
        <w:rPr>
          <w:rFonts w:ascii="Times New Roman" w:hAnsi="Times New Roman" w:eastAsia="方正仿宋_GBK" w:cs="Times New Roman"/>
          <w:sz w:val="32"/>
          <w:szCs w:val="32"/>
        </w:rPr>
        <w:t>7条市政道路全部贯通，长岗、麻竹窝片区综合开发基本完成，贵龙寨</w:t>
      </w:r>
      <w:bookmarkStart w:id="10" w:name="_Hlk62147330"/>
      <w:r>
        <w:rPr>
          <w:rFonts w:ascii="Times New Roman" w:hAnsi="Times New Roman" w:eastAsia="方正仿宋_GBK" w:cs="Times New Roman"/>
          <w:sz w:val="32"/>
          <w:szCs w:val="32"/>
        </w:rPr>
        <w:t>“三旧”改造</w:t>
      </w:r>
      <w:bookmarkEnd w:id="10"/>
      <w:r>
        <w:rPr>
          <w:rFonts w:ascii="Times New Roman" w:hAnsi="Times New Roman" w:eastAsia="方正仿宋_GBK" w:cs="Times New Roman"/>
          <w:sz w:val="32"/>
          <w:szCs w:val="32"/>
        </w:rPr>
        <w:t>和紫金桥头、紫金桥北、大坑片区等综合开发</w:t>
      </w:r>
      <w:r>
        <w:rPr>
          <w:rFonts w:hint="eastAsia" w:ascii="Times New Roman" w:hAnsi="Times New Roman" w:eastAsia="方正仿宋_GBK" w:cs="Times New Roman"/>
          <w:sz w:val="32"/>
          <w:szCs w:val="32"/>
        </w:rPr>
        <w:t>以及</w:t>
      </w:r>
      <w:r>
        <w:rPr>
          <w:rFonts w:ascii="Times New Roman" w:hAnsi="Times New Roman" w:eastAsia="方正仿宋_GBK" w:cs="Times New Roman"/>
          <w:sz w:val="32"/>
          <w:szCs w:val="32"/>
        </w:rPr>
        <w:t>胜利花园二期、和平花园安置小区等民生项目加速推进。中骏·世界城商业综合体、时代倾城、山湖海·悦府等项目落地动工。高铁新城组团方面，高铁新城核心区控规落地，高铁河源东站综合交通枢纽工程、片区二工程项目启动建设，高望片区自来水完成改造；整体接收临江工业园，制定解决园区66家企业问题的政策框</w:t>
      </w:r>
      <w:r>
        <w:rPr>
          <w:rFonts w:hint="eastAsia" w:ascii="Times New Roman" w:hAnsi="Times New Roman" w:eastAsia="方正仿宋_GBK" w:cs="Times New Roman"/>
          <w:sz w:val="32"/>
          <w:szCs w:val="32"/>
        </w:rPr>
        <w:t>架，稳步推进园区后续发展。产业起步区组团方面，编制《大数据产业园产业规划》并推动建设，引进企业48</w:t>
      </w:r>
      <w:r>
        <w:rPr>
          <w:rFonts w:ascii="Times New Roman" w:hAnsi="Times New Roman" w:eastAsia="方正仿宋_GBK" w:cs="Times New Roman"/>
          <w:sz w:val="32"/>
          <w:szCs w:val="32"/>
        </w:rPr>
        <w:t>家，在建工业项目</w:t>
      </w:r>
      <w:r>
        <w:rPr>
          <w:rFonts w:hint="eastAsia" w:ascii="Times New Roman" w:hAnsi="Times New Roman" w:eastAsia="方正仿宋_GBK" w:cs="Times New Roman"/>
          <w:sz w:val="32"/>
          <w:szCs w:val="32"/>
        </w:rPr>
        <w:t>15</w:t>
      </w:r>
      <w:r>
        <w:rPr>
          <w:rFonts w:ascii="Times New Roman" w:hAnsi="Times New Roman" w:eastAsia="方正仿宋_GBK" w:cs="Times New Roman"/>
          <w:sz w:val="32"/>
          <w:szCs w:val="32"/>
        </w:rPr>
        <w:t>个，埃纳生医疗器械、凯中精密制造、轩朗光学材料等8个项目已投产。特色产业组团方面，通用机场、古竹码头选址工作顺利推进，融创文旅城、产业集聚区、旅游大道等项目建设顺利推进，古竹教育产业园、古竹市民活动中心、大众花园（安置房）、古竹中学教师公寓楼、古竹中学教学楼启动建设。</w:t>
      </w:r>
    </w:p>
    <w:p>
      <w:pPr>
        <w:adjustRightInd w:val="0"/>
        <w:snapToGrid w:val="0"/>
        <w:spacing w:line="60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重点改革取得突破。</w:t>
      </w:r>
      <w:r>
        <w:rPr>
          <w:rFonts w:hint="eastAsia" w:ascii="Times New Roman" w:hAnsi="Times New Roman" w:eastAsia="方正仿宋_GBK" w:cs="Times New Roman"/>
          <w:sz w:val="32"/>
          <w:szCs w:val="32"/>
        </w:rPr>
        <w:t>制定并印发新区政务服务改革试点工作方案，稳步推进政务服务能力提升改革。新区政务服务大厅完成升级改造。推进“</w:t>
      </w:r>
      <w:bookmarkStart w:id="11" w:name="_Hlk62147345"/>
      <w:r>
        <w:rPr>
          <w:rFonts w:hint="eastAsia" w:ascii="Times New Roman" w:hAnsi="Times New Roman" w:eastAsia="方正仿宋_GBK" w:cs="Times New Roman"/>
          <w:sz w:val="32"/>
          <w:szCs w:val="32"/>
        </w:rPr>
        <w:t>一门式，一网式</w:t>
      </w:r>
      <w:bookmarkEnd w:id="11"/>
      <w:r>
        <w:rPr>
          <w:rFonts w:hint="eastAsia" w:ascii="Times New Roman" w:hAnsi="Times New Roman" w:eastAsia="方正仿宋_GBK" w:cs="Times New Roman"/>
          <w:sz w:val="32"/>
          <w:szCs w:val="32"/>
        </w:rPr>
        <w:t>”政务服务改革，</w:t>
      </w:r>
      <w:r>
        <w:rPr>
          <w:rFonts w:ascii="Times New Roman" w:hAnsi="Times New Roman" w:eastAsia="方正仿宋_GBK" w:cs="Times New Roman"/>
          <w:sz w:val="32"/>
          <w:szCs w:val="32"/>
        </w:rPr>
        <w:t>14个单位、638个事项进驻新区政务服务大厅，依申请类事项进驻率达到94.94%。高标准建设新区基层公共服务办事系统，全面推行“前台一窗受理，后台协同办理”的业务办理模式，320项综合窗口进驻事项进驻平台，基本实现了“只进一扇门,最多跑一次”。实现政务服务一体化，完成统一受理平台替换，实现与全市“一张网”。稳步推进“</w:t>
      </w:r>
      <w:bookmarkStart w:id="12" w:name="_Hlk62147354"/>
      <w:r>
        <w:rPr>
          <w:rFonts w:ascii="Times New Roman" w:hAnsi="Times New Roman" w:eastAsia="方正仿宋_GBK" w:cs="Times New Roman"/>
          <w:sz w:val="32"/>
          <w:szCs w:val="32"/>
        </w:rPr>
        <w:t>一枚公章管审批</w:t>
      </w:r>
      <w:bookmarkEnd w:id="12"/>
      <w:r>
        <w:rPr>
          <w:rFonts w:ascii="Times New Roman" w:hAnsi="Times New Roman" w:eastAsia="方正仿宋_GBK" w:cs="Times New Roman"/>
          <w:sz w:val="32"/>
          <w:szCs w:val="32"/>
        </w:rPr>
        <w:t>”改革试点，行政审批局已完成“一枚公章管审批”审批事项共33大项交接工作并</w:t>
      </w:r>
      <w:r>
        <w:rPr>
          <w:rFonts w:hint="eastAsia" w:ascii="Times New Roman" w:hAnsi="Times New Roman" w:eastAsia="方正仿宋_GBK" w:cs="Times New Roman"/>
          <w:sz w:val="32"/>
          <w:szCs w:val="32"/>
        </w:rPr>
        <w:t>履行审批职能。积极推进工程建设项目审批制度改革，梳理出从立项到竣工验收各阶段共</w:t>
      </w:r>
      <w:r>
        <w:rPr>
          <w:rFonts w:ascii="Times New Roman" w:hAnsi="Times New Roman" w:eastAsia="方正仿宋_GBK" w:cs="Times New Roman"/>
          <w:sz w:val="32"/>
          <w:szCs w:val="32"/>
        </w:rPr>
        <w:t>50项工建审批事项清单，推动中介服务采购操作规范化。持续开展</w:t>
      </w:r>
      <w:bookmarkStart w:id="13" w:name="_Hlk62147381"/>
      <w:r>
        <w:rPr>
          <w:rFonts w:ascii="Times New Roman" w:hAnsi="Times New Roman" w:eastAsia="方正仿宋_GBK" w:cs="Times New Roman"/>
          <w:sz w:val="32"/>
          <w:szCs w:val="32"/>
        </w:rPr>
        <w:t>政务服务事项颗粒化梳理</w:t>
      </w:r>
      <w:bookmarkEnd w:id="13"/>
      <w:r>
        <w:rPr>
          <w:rFonts w:ascii="Times New Roman" w:hAnsi="Times New Roman" w:eastAsia="方正仿宋_GBK" w:cs="Times New Roman"/>
          <w:sz w:val="32"/>
          <w:szCs w:val="32"/>
        </w:rPr>
        <w:t>，编制《河源江东新区政务服务能力提升改革事项颗粒化梳理及流程优化提升实施项目方案》，梳理出13个部门共716个事项，完成进驻大厅事项标准化梳理和办事指南的编制。数字政府建设稳步推进，完成政务资源共享平台建设和新区电子政务云一期建设，梳理出2838项政务服务事项并录入政务平台。</w:t>
      </w:r>
      <w:r>
        <w:rPr>
          <w:rFonts w:hint="eastAsia" w:ascii="Times New Roman" w:hAnsi="Times New Roman" w:eastAsia="方正仿宋_GBK" w:cs="Times New Roman"/>
          <w:sz w:val="32"/>
          <w:szCs w:val="32"/>
        </w:rPr>
        <w:t>积极推进国企改革。深化新区乡镇街道体制机制改革，理顺镇街体制机制，通过整合优化资源，统一精简设置镇街内设机构和事业单位，同步下沉镇街人员编制</w:t>
      </w:r>
      <w:r>
        <w:rPr>
          <w:rFonts w:ascii="Times New Roman" w:hAnsi="Times New Roman" w:eastAsia="方正仿宋_GBK" w:cs="Times New Roman"/>
          <w:sz w:val="32"/>
          <w:szCs w:val="32"/>
        </w:rPr>
        <w:t>85名，增加行政执法编制12名，大大充实镇街基层干部队伍力量</w:t>
      </w:r>
      <w:r>
        <w:rPr>
          <w:rFonts w:hint="eastAsia" w:ascii="Times New Roman" w:hAnsi="Times New Roman" w:eastAsia="方正仿宋_GBK" w:cs="Times New Roman"/>
          <w:sz w:val="32"/>
          <w:szCs w:val="32"/>
        </w:rPr>
        <w:t>。实施制造业企业“亩均效益”综合评价改革试点。</w:t>
      </w:r>
    </w:p>
    <w:p>
      <w:pPr>
        <w:adjustRightInd w:val="0"/>
        <w:snapToGrid w:val="0"/>
        <w:spacing w:line="60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乡村振兴扎实推进。</w:t>
      </w:r>
      <w:r>
        <w:rPr>
          <w:rFonts w:hint="eastAsia" w:ascii="Times New Roman" w:hAnsi="Times New Roman" w:eastAsia="方正仿宋_GBK" w:cs="Times New Roman"/>
          <w:sz w:val="32"/>
          <w:szCs w:val="32"/>
        </w:rPr>
        <w:t>探索城郊型农村发展之路，发展以雅色村为代表的“村集体与社会资本共同撬动模式”，以双坑村为代表的“电商特色产业模式”，以桂林村为代表的“三产融合发展模式”。大力发展富民兴村产业，中草药种植示范基地项目启动建设，葡萄、蔬菜种植和山地鸡养殖基地初具规模，“</w:t>
      </w:r>
      <w:bookmarkStart w:id="14" w:name="_Hlk62147399"/>
      <w:r>
        <w:rPr>
          <w:rFonts w:hint="eastAsia" w:ascii="Times New Roman" w:hAnsi="Times New Roman" w:eastAsia="方正仿宋_GBK" w:cs="Times New Roman"/>
          <w:sz w:val="32"/>
          <w:szCs w:val="32"/>
        </w:rPr>
        <w:t>一县一园、一镇一业、一村一品</w:t>
      </w:r>
      <w:bookmarkEnd w:id="14"/>
      <w:r>
        <w:rPr>
          <w:rFonts w:hint="eastAsia" w:ascii="Times New Roman" w:hAnsi="Times New Roman" w:eastAsia="方正仿宋_GBK" w:cs="Times New Roman"/>
          <w:sz w:val="32"/>
          <w:szCs w:val="32"/>
        </w:rPr>
        <w:t>”现代农业产业体系加快构建。农业现代化水平不断提高，创建市级现代农业产业园</w:t>
      </w:r>
      <w:r>
        <w:rPr>
          <w:rFonts w:ascii="Times New Roman" w:hAnsi="Times New Roman" w:eastAsia="方正仿宋_GBK" w:cs="Times New Roman"/>
          <w:sz w:val="32"/>
          <w:szCs w:val="32"/>
        </w:rPr>
        <w:t>1家，新增市级农业龙头企业1</w:t>
      </w:r>
      <w:r>
        <w:rPr>
          <w:rFonts w:hint="eastAsia" w:ascii="Times New Roman" w:hAnsi="Times New Roman" w:eastAsia="方正仿宋_GBK" w:cs="Times New Roman"/>
          <w:sz w:val="32"/>
          <w:szCs w:val="32"/>
        </w:rPr>
        <w:t>家。大力实施民生基础设施工程，改造建成“四好农村路”</w:t>
      </w:r>
      <w:r>
        <w:rPr>
          <w:rFonts w:ascii="Times New Roman" w:hAnsi="Times New Roman" w:eastAsia="方正仿宋_GBK" w:cs="Times New Roman"/>
          <w:sz w:val="32"/>
          <w:szCs w:val="32"/>
        </w:rPr>
        <w:t>80.33公里</w:t>
      </w:r>
      <w:r>
        <w:rPr>
          <w:rFonts w:hint="eastAsia" w:ascii="Times New Roman" w:hAnsi="Times New Roman" w:eastAsia="方正仿宋_GBK" w:cs="Times New Roman"/>
          <w:sz w:val="32"/>
          <w:szCs w:val="32"/>
        </w:rPr>
        <w:t>，村村通自来水工程实施完成，村组道路硬化、路面拓宽工程扎实推进。全域开展农村人居环境综合整治，“</w:t>
      </w:r>
      <w:bookmarkStart w:id="15" w:name="_Hlk62147415"/>
      <w:r>
        <w:rPr>
          <w:rFonts w:hint="eastAsia" w:ascii="Times New Roman" w:hAnsi="Times New Roman" w:eastAsia="方正仿宋_GBK" w:cs="Times New Roman"/>
          <w:sz w:val="32"/>
          <w:szCs w:val="32"/>
        </w:rPr>
        <w:t>三清三拆三整治</w:t>
      </w:r>
      <w:bookmarkEnd w:id="15"/>
      <w:r>
        <w:rPr>
          <w:rFonts w:hint="eastAsia" w:ascii="Times New Roman" w:hAnsi="Times New Roman" w:eastAsia="方正仿宋_GBK" w:cs="Times New Roman"/>
          <w:sz w:val="32"/>
          <w:szCs w:val="32"/>
        </w:rPr>
        <w:t>”、农村生活垃圾处理、“</w:t>
      </w:r>
      <w:bookmarkStart w:id="16" w:name="_Hlk62147422"/>
      <w:r>
        <w:rPr>
          <w:rFonts w:hint="eastAsia" w:ascii="Times New Roman" w:hAnsi="Times New Roman" w:eastAsia="方正仿宋_GBK" w:cs="Times New Roman"/>
          <w:sz w:val="32"/>
          <w:szCs w:val="32"/>
        </w:rPr>
        <w:t>厕所革命</w:t>
      </w:r>
      <w:bookmarkEnd w:id="16"/>
      <w:r>
        <w:rPr>
          <w:rFonts w:hint="eastAsia" w:ascii="Times New Roman" w:hAnsi="Times New Roman" w:eastAsia="方正仿宋_GBK" w:cs="Times New Roman"/>
          <w:sz w:val="32"/>
          <w:szCs w:val="32"/>
        </w:rPr>
        <w:t>”基本完成，行政村分散式生活污水处理设施加快建设。全域实施“党建</w:t>
      </w:r>
      <w:r>
        <w:rPr>
          <w:rFonts w:ascii="Times New Roman" w:hAnsi="Times New Roman" w:eastAsia="方正仿宋_GBK" w:cs="Times New Roman"/>
          <w:sz w:val="32"/>
          <w:szCs w:val="32"/>
        </w:rPr>
        <w:t>+为村”，</w:t>
      </w:r>
      <w:bookmarkStart w:id="17" w:name="_Hlk62147445"/>
      <w:r>
        <w:rPr>
          <w:rFonts w:ascii="Times New Roman" w:hAnsi="Times New Roman" w:eastAsia="方正仿宋_GBK" w:cs="Times New Roman"/>
          <w:sz w:val="32"/>
          <w:szCs w:val="32"/>
        </w:rPr>
        <w:t>“头雁”工程</w:t>
      </w:r>
      <w:bookmarkEnd w:id="17"/>
      <w:r>
        <w:rPr>
          <w:rFonts w:ascii="Times New Roman" w:hAnsi="Times New Roman" w:eastAsia="方正仿宋_GBK" w:cs="Times New Roman"/>
          <w:sz w:val="32"/>
          <w:szCs w:val="32"/>
        </w:rPr>
        <w:t>成效初显，基层党组织战斗堡垒作用不断增强。</w:t>
      </w:r>
      <w:r>
        <w:rPr>
          <w:rFonts w:hint="eastAsia" w:ascii="Times New Roman" w:hAnsi="Times New Roman" w:eastAsia="方正仿宋_GBK" w:cs="Times New Roman"/>
          <w:sz w:val="32"/>
          <w:szCs w:val="32"/>
        </w:rPr>
        <w:t>雅色村荣获“广东省文明村镇”称号。古竹镇被评为第一批中国特色小镇。</w:t>
      </w:r>
    </w:p>
    <w:p>
      <w:pPr>
        <w:adjustRightInd w:val="0"/>
        <w:snapToGrid w:val="0"/>
        <w:spacing w:line="60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民生福祉改善提升。</w:t>
      </w:r>
      <w:r>
        <w:rPr>
          <w:rFonts w:hint="eastAsia" w:ascii="Times New Roman" w:hAnsi="Times New Roman" w:eastAsia="方正仿宋_GBK" w:cs="Times New Roman"/>
          <w:sz w:val="32"/>
          <w:szCs w:val="32"/>
        </w:rPr>
        <w:t>教育“创强”“推现”工作通过验收，师资力量不断提升，公开招聘师范类全日制本科以上学历教师</w:t>
      </w:r>
      <w:r>
        <w:rPr>
          <w:rFonts w:ascii="Times New Roman" w:hAnsi="Times New Roman" w:eastAsia="方正仿宋_GBK" w:cs="Times New Roman"/>
          <w:sz w:val="32"/>
          <w:szCs w:val="32"/>
        </w:rPr>
        <w:t>146人，教育质量不断提升，2020年高</w:t>
      </w:r>
      <w:r>
        <w:rPr>
          <w:rFonts w:hint="eastAsia" w:ascii="Times New Roman" w:hAnsi="Times New Roman" w:eastAsia="方正仿宋_GBK" w:cs="Times New Roman"/>
          <w:sz w:val="32"/>
          <w:szCs w:val="32"/>
        </w:rPr>
        <w:t>考本科上线人数较</w:t>
      </w:r>
      <w:r>
        <w:rPr>
          <w:rFonts w:ascii="Times New Roman" w:hAnsi="Times New Roman" w:eastAsia="方正仿宋_GBK" w:cs="Times New Roman"/>
          <w:sz w:val="32"/>
          <w:szCs w:val="32"/>
        </w:rPr>
        <w:t>2016年翻两番</w:t>
      </w:r>
      <w:r>
        <w:rPr>
          <w:rFonts w:hint="eastAsia" w:ascii="Times New Roman" w:hAnsi="Times New Roman" w:eastAsia="方正仿宋_GBK" w:cs="Times New Roman"/>
          <w:sz w:val="32"/>
          <w:szCs w:val="32"/>
        </w:rPr>
        <w:t>。义务教育标准化学校建设全面实施，公办及普惠性幼儿园学位超过</w:t>
      </w:r>
      <w:r>
        <w:rPr>
          <w:rFonts w:ascii="Times New Roman" w:hAnsi="Times New Roman" w:eastAsia="方正仿宋_GBK" w:cs="Times New Roman"/>
          <w:sz w:val="32"/>
          <w:szCs w:val="32"/>
        </w:rPr>
        <w:t>80%，</w:t>
      </w:r>
      <w:r>
        <w:rPr>
          <w:rFonts w:hint="eastAsia" w:ascii="Times New Roman" w:hAnsi="Times New Roman" w:eastAsia="方正仿宋_GBK" w:cs="Times New Roman"/>
          <w:sz w:val="32"/>
          <w:szCs w:val="32"/>
        </w:rPr>
        <w:t>河源高级中学、东岸学校、碧桂园学校、园区小学等学校建成并</w:t>
      </w:r>
      <w:r>
        <w:rPr>
          <w:rFonts w:ascii="Times New Roman" w:hAnsi="Times New Roman" w:eastAsia="方正仿宋_GBK" w:cs="Times New Roman"/>
          <w:sz w:val="32"/>
          <w:szCs w:val="32"/>
        </w:rPr>
        <w:t>开学</w:t>
      </w:r>
      <w:r>
        <w:rPr>
          <w:rFonts w:hint="eastAsia" w:ascii="Times New Roman" w:hAnsi="Times New Roman" w:eastAsia="方正仿宋_GBK" w:cs="Times New Roman"/>
          <w:sz w:val="32"/>
          <w:szCs w:val="32"/>
        </w:rPr>
        <w:t>，增加义务教育学位</w:t>
      </w:r>
      <w:r>
        <w:rPr>
          <w:rFonts w:ascii="Times New Roman" w:hAnsi="Times New Roman" w:eastAsia="方正仿宋_GBK" w:cs="Times New Roman"/>
          <w:sz w:val="32"/>
          <w:szCs w:val="32"/>
        </w:rPr>
        <w:t>6600个、高中学位3000个</w:t>
      </w:r>
      <w:r>
        <w:rPr>
          <w:rFonts w:hint="eastAsia" w:ascii="Times New Roman" w:hAnsi="Times New Roman" w:eastAsia="方正仿宋_GBK" w:cs="Times New Roman"/>
          <w:sz w:val="32"/>
          <w:szCs w:val="32"/>
        </w:rPr>
        <w:t>；建成公立幼儿园</w:t>
      </w:r>
      <w:r>
        <w:rPr>
          <w:rFonts w:ascii="Times New Roman" w:hAnsi="Times New Roman" w:eastAsia="方正仿宋_GBK" w:cs="Times New Roman"/>
          <w:sz w:val="32"/>
          <w:szCs w:val="32"/>
        </w:rPr>
        <w:t>7间、增加</w:t>
      </w:r>
      <w:r>
        <w:rPr>
          <w:rFonts w:hint="eastAsia" w:ascii="Times New Roman" w:hAnsi="Times New Roman" w:eastAsia="方正仿宋_GBK" w:cs="Times New Roman"/>
          <w:sz w:val="32"/>
          <w:szCs w:val="32"/>
        </w:rPr>
        <w:t>学位</w:t>
      </w:r>
      <w:r>
        <w:rPr>
          <w:rFonts w:ascii="Times New Roman" w:hAnsi="Times New Roman" w:eastAsia="方正仿宋_GBK" w:cs="Times New Roman"/>
          <w:sz w:val="32"/>
          <w:szCs w:val="32"/>
        </w:rPr>
        <w:t>1995个，开办普惠性幼儿园14间、增加学位4800个，“5080”</w:t>
      </w:r>
      <w:r>
        <w:rPr>
          <w:rFonts w:hint="eastAsia" w:ascii="Times New Roman" w:hAnsi="Times New Roman" w:eastAsia="方正仿宋_GBK" w:cs="Times New Roman"/>
          <w:sz w:val="32"/>
          <w:szCs w:val="32"/>
        </w:rPr>
        <w:t>攻坚任务顺利完成。</w:t>
      </w:r>
      <w:r>
        <w:rPr>
          <w:rFonts w:ascii="Times New Roman" w:hAnsi="Times New Roman" w:eastAsia="方正仿宋_GBK" w:cs="Times New Roman"/>
          <w:sz w:val="32"/>
          <w:szCs w:val="32"/>
        </w:rPr>
        <w:t>国家基本公共卫生服务项目考核连续四年排名全市第一，深河人民医院</w:t>
      </w:r>
      <w:r>
        <w:rPr>
          <w:rFonts w:hint="eastAsia" w:ascii="Times New Roman" w:hAnsi="Times New Roman" w:eastAsia="方正仿宋_GBK" w:cs="Times New Roman"/>
          <w:sz w:val="32"/>
          <w:szCs w:val="32"/>
        </w:rPr>
        <w:t>主体完工并进行门诊试运营</w:t>
      </w:r>
      <w:r>
        <w:rPr>
          <w:rFonts w:ascii="Times New Roman" w:hAnsi="Times New Roman" w:eastAsia="方正仿宋_GBK" w:cs="Times New Roman"/>
          <w:sz w:val="32"/>
          <w:szCs w:val="32"/>
        </w:rPr>
        <w:t>。医疗体制改革稳步推进，村卫生站规范化建设已全面完成，公共卫生服务</w:t>
      </w:r>
      <w:r>
        <w:rPr>
          <w:rFonts w:hint="eastAsia" w:ascii="Times New Roman" w:hAnsi="Times New Roman" w:eastAsia="方正仿宋_GBK" w:cs="Times New Roman"/>
          <w:sz w:val="32"/>
          <w:szCs w:val="32"/>
        </w:rPr>
        <w:t>能力</w:t>
      </w:r>
      <w:r>
        <w:rPr>
          <w:rFonts w:ascii="Times New Roman" w:hAnsi="Times New Roman" w:eastAsia="方正仿宋_GBK" w:cs="Times New Roman"/>
          <w:sz w:val="32"/>
          <w:szCs w:val="32"/>
        </w:rPr>
        <w:t>全面提升。</w:t>
      </w:r>
      <w:r>
        <w:rPr>
          <w:rFonts w:hint="eastAsia" w:ascii="Times New Roman" w:hAnsi="Times New Roman" w:eastAsia="方正仿宋_GBK" w:cs="Times New Roman"/>
          <w:sz w:val="32"/>
          <w:szCs w:val="32"/>
        </w:rPr>
        <w:t>文化惠民建设不断加强，</w:t>
      </w:r>
      <w:r>
        <w:rPr>
          <w:rFonts w:ascii="Times New Roman" w:hAnsi="Times New Roman" w:eastAsia="方正仿宋_GBK" w:cs="Times New Roman"/>
          <w:sz w:val="32"/>
          <w:szCs w:val="32"/>
        </w:rPr>
        <w:t>广东青年抗日先锋队紫金支队队部旧址（陈家祠）修缮</w:t>
      </w:r>
      <w:r>
        <w:rPr>
          <w:rFonts w:hint="eastAsia" w:ascii="Times New Roman" w:hAnsi="Times New Roman" w:eastAsia="方正仿宋_GBK" w:cs="Times New Roman"/>
          <w:sz w:val="32"/>
          <w:szCs w:val="32"/>
        </w:rPr>
        <w:t>保护工程顺利完成</w:t>
      </w:r>
      <w:r>
        <w:rPr>
          <w:rFonts w:ascii="Times New Roman" w:hAnsi="Times New Roman" w:eastAsia="方正仿宋_GBK" w:cs="Times New Roman"/>
          <w:sz w:val="32"/>
          <w:szCs w:val="32"/>
        </w:rPr>
        <w:t>，古竹抗日战争革命遗址群项目入库建设。</w:t>
      </w:r>
      <w:r>
        <w:rPr>
          <w:rFonts w:hint="eastAsia" w:ascii="Times New Roman" w:hAnsi="Times New Roman" w:eastAsia="方正仿宋_GBK" w:cs="Times New Roman"/>
          <w:sz w:val="32"/>
          <w:szCs w:val="32"/>
        </w:rPr>
        <w:t>城镇新增就业人口累计</w:t>
      </w:r>
      <w:r>
        <w:rPr>
          <w:rFonts w:ascii="Times New Roman" w:hAnsi="Times New Roman" w:eastAsia="方正仿宋_GBK" w:cs="Times New Roman"/>
          <w:sz w:val="32"/>
          <w:szCs w:val="32"/>
        </w:rPr>
        <w:t>8209人</w:t>
      </w:r>
      <w:r>
        <w:rPr>
          <w:rFonts w:hint="eastAsia" w:ascii="Times New Roman" w:hAnsi="Times New Roman" w:eastAsia="方正仿宋_GBK" w:cs="Times New Roman"/>
          <w:sz w:val="32"/>
          <w:szCs w:val="32"/>
        </w:rPr>
        <w:t>，其中</w:t>
      </w:r>
      <w:r>
        <w:rPr>
          <w:rFonts w:ascii="Times New Roman" w:hAnsi="Times New Roman" w:eastAsia="方正仿宋_GBK" w:cs="Times New Roman"/>
          <w:sz w:val="32"/>
          <w:szCs w:val="32"/>
        </w:rPr>
        <w:t>20</w:t>
      </w:r>
      <w:r>
        <w:rPr>
          <w:rFonts w:hint="eastAsia" w:ascii="Times New Roman" w:hAnsi="Times New Roman" w:eastAsia="方正仿宋_GBK" w:cs="Times New Roman"/>
          <w:sz w:val="32"/>
          <w:szCs w:val="32"/>
        </w:rPr>
        <w:t>20</w:t>
      </w:r>
      <w:r>
        <w:rPr>
          <w:rFonts w:ascii="Times New Roman" w:hAnsi="Times New Roman" w:eastAsia="方正仿宋_GBK" w:cs="Times New Roman"/>
          <w:sz w:val="32"/>
          <w:szCs w:val="32"/>
        </w:rPr>
        <w:t>年城镇新增就业</w:t>
      </w:r>
      <w:r>
        <w:rPr>
          <w:rFonts w:hint="eastAsia" w:ascii="Times New Roman" w:hAnsi="Times New Roman" w:eastAsia="方正仿宋_GBK" w:cs="Times New Roman"/>
          <w:sz w:val="32"/>
          <w:szCs w:val="32"/>
        </w:rPr>
        <w:t>1340</w:t>
      </w:r>
      <w:r>
        <w:rPr>
          <w:rFonts w:ascii="Times New Roman" w:hAnsi="Times New Roman" w:eastAsia="方正仿宋_GBK" w:cs="Times New Roman"/>
          <w:sz w:val="32"/>
          <w:szCs w:val="32"/>
        </w:rPr>
        <w:t>人，城镇失业人员实现再就业</w:t>
      </w:r>
      <w:r>
        <w:rPr>
          <w:rFonts w:hint="eastAsia" w:ascii="Times New Roman" w:hAnsi="Times New Roman" w:eastAsia="方正仿宋_GBK" w:cs="Times New Roman"/>
          <w:sz w:val="32"/>
          <w:szCs w:val="32"/>
        </w:rPr>
        <w:t>199</w:t>
      </w:r>
      <w:r>
        <w:rPr>
          <w:rFonts w:ascii="Times New Roman" w:hAnsi="Times New Roman" w:eastAsia="方正仿宋_GBK" w:cs="Times New Roman"/>
          <w:sz w:val="32"/>
          <w:szCs w:val="32"/>
        </w:rPr>
        <w:t>人，城镇登记失业率控制在</w:t>
      </w:r>
      <w:r>
        <w:rPr>
          <w:rFonts w:hint="eastAsia" w:ascii="Times New Roman" w:hAnsi="Times New Roman" w:eastAsia="方正仿宋_GBK" w:cs="Times New Roman"/>
          <w:sz w:val="32"/>
          <w:szCs w:val="32"/>
        </w:rPr>
        <w:t>2.5</w:t>
      </w:r>
      <w:r>
        <w:rPr>
          <w:rFonts w:ascii="Times New Roman" w:hAnsi="Times New Roman" w:eastAsia="方正仿宋_GBK" w:cs="Times New Roman"/>
          <w:sz w:val="32"/>
          <w:szCs w:val="32"/>
        </w:rPr>
        <w:t>%以内，劳动者权益得到有</w:t>
      </w:r>
      <w:r>
        <w:rPr>
          <w:rFonts w:hint="eastAsia" w:ascii="Times New Roman" w:hAnsi="Times New Roman" w:eastAsia="方正仿宋_GBK" w:cs="Times New Roman"/>
          <w:sz w:val="32"/>
          <w:szCs w:val="32"/>
        </w:rPr>
        <w:t>力保障。基本完成临江镇胜利桥、光凹桥和古竹镇鸭子渡桥、雁头桥等危桥改造重建，新紫金桥建成通车。全面推行</w:t>
      </w:r>
      <w:bookmarkStart w:id="18" w:name="_Hlk62147518"/>
      <w:r>
        <w:rPr>
          <w:rFonts w:hint="eastAsia" w:ascii="Times New Roman" w:hAnsi="Times New Roman" w:eastAsia="方正仿宋_GBK" w:cs="Times New Roman"/>
          <w:sz w:val="32"/>
          <w:szCs w:val="32"/>
        </w:rPr>
        <w:t>公路桥梁交通安全路桥长制</w:t>
      </w:r>
      <w:bookmarkEnd w:id="18"/>
      <w:r>
        <w:rPr>
          <w:rFonts w:hint="eastAsia" w:ascii="Times New Roman" w:hAnsi="Times New Roman" w:eastAsia="方正仿宋_GBK" w:cs="Times New Roman"/>
          <w:sz w:val="32"/>
          <w:szCs w:val="32"/>
        </w:rPr>
        <w:t>，公路桥梁管护水平有效提升。创文工作取得实效。</w:t>
      </w:r>
    </w:p>
    <w:p>
      <w:pPr>
        <w:adjustRightInd w:val="0"/>
        <w:snapToGrid w:val="0"/>
        <w:spacing w:line="60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党的建设深入推进。</w:t>
      </w:r>
      <w:r>
        <w:rPr>
          <w:rFonts w:hint="eastAsia" w:ascii="Times New Roman" w:hAnsi="Times New Roman" w:eastAsia="方正仿宋_GBK" w:cs="Times New Roman"/>
          <w:sz w:val="32"/>
          <w:szCs w:val="32"/>
        </w:rPr>
        <w:t>坚决贯彻新时代党的建设总要求，不断加强党员教育学习，扎实开展“两学一做”学习教育、“不忘初心、牢记使命”主题教育，进一步增强“四个意识”、坚定“四个自信”、做到“两个维护”。加强党组织对各类组织的全面领导。深入实施“头雁”工程，共选拔培养村（社区）党组织书记后备干部</w:t>
      </w:r>
      <w:r>
        <w:rPr>
          <w:rFonts w:ascii="Times New Roman" w:hAnsi="Times New Roman" w:eastAsia="方正仿宋_GBK" w:cs="Times New Roman"/>
          <w:sz w:val="32"/>
          <w:szCs w:val="32"/>
        </w:rPr>
        <w:t>77人，“两委”干部队伍结构得到明显优化。全面提升城市党建水平，扎实推进非公企业党建“双同步”工作，圆满完成“三个100%”工作任务。大力创建基层党建示范品牌，政企社“三联共建”示范点入选河源市首届十大基层党建示范品牌。积极发挥党建引领重点工作的</w:t>
      </w:r>
      <w:r>
        <w:rPr>
          <w:rFonts w:hint="eastAsia" w:ascii="Times New Roman" w:hAnsi="Times New Roman" w:eastAsia="方正仿宋_GBK" w:cs="Times New Roman"/>
          <w:sz w:val="32"/>
          <w:szCs w:val="32"/>
        </w:rPr>
        <w:t>核心作用，充分发挥党员先锋模范作用，成立</w:t>
      </w:r>
      <w:r>
        <w:rPr>
          <w:rFonts w:ascii="Times New Roman" w:hAnsi="Times New Roman" w:eastAsia="方正仿宋_GBK" w:cs="Times New Roman"/>
          <w:sz w:val="32"/>
          <w:szCs w:val="32"/>
        </w:rPr>
        <w:t>36个临时党支部、选派65名干部投身疫情防控，统筹推进新冠肺炎疫情防控和复工复产工作，切实把“堡垒”筑在最前沿。推行网格化智能管理，建立党员领导干部直接联系群众制度，选派56名优秀干部投身乡村振兴和精准扶贫工作。打好扫黑除恶专项斗争攻坚战，坚决处理“四不书记”和“三类人员”，精准排查并整顿软弱涣散基层党组织9个，考核验收优秀达标率达100%，基层组织力和战斗力不断提升。全面强化基层基础保障工程，打造云端上的“党群服务中心”，“为村”平台活跃度居全市第一，开通“</w:t>
      </w:r>
      <w:r>
        <w:rPr>
          <w:rFonts w:hint="eastAsia" w:ascii="Times New Roman" w:hAnsi="Times New Roman" w:eastAsia="方正仿宋_GBK" w:cs="Times New Roman"/>
          <w:sz w:val="32"/>
          <w:szCs w:val="32"/>
        </w:rPr>
        <w:t>复兴壹号”党费收缴平台，</w:t>
      </w:r>
      <w:r>
        <w:rPr>
          <w:rFonts w:ascii="Times New Roman" w:hAnsi="Times New Roman" w:eastAsia="方正仿宋_GBK" w:cs="Times New Roman"/>
          <w:sz w:val="32"/>
          <w:szCs w:val="32"/>
        </w:rPr>
        <w:t>34个村（社区）全面高质量建成党群服务中心，村级办公经费提高至10万元以上，“两委”干部月均工资提高至3000元以上，基层党组织运转经费得到有力保障。</w:t>
      </w:r>
    </w:p>
    <w:p>
      <w:pPr>
        <w:adjustRightInd w:val="0"/>
        <w:snapToGrid w:val="0"/>
        <w:spacing w:line="60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干部队伍建设不断加强。</w:t>
      </w:r>
      <w:r>
        <w:rPr>
          <w:rFonts w:hint="eastAsia" w:ascii="Times New Roman" w:hAnsi="Times New Roman" w:eastAsia="方正仿宋_GBK" w:cs="Times New Roman"/>
          <w:sz w:val="32"/>
          <w:szCs w:val="32"/>
        </w:rPr>
        <w:t>突出政治标准选人用人，在新区发展关键时刻或承担急难险重任务中发现人才、培养人才、淬炼人才，尤其在疫情防控期间，及时出台《关于在新型冠状病毒感染的肺炎疫情防控阻击战中开展干部专项考核的通知》，把防控工作落实成效作为评价干部的重要依据，对在危机挑战面前迎难而上、挺身而出、坚决斗争的干部，在防控工作中担当作为、取得成绩的干部优先提拔重用、晋升职务职级、评定职称、聘用专业技术职务。“十三五”期间提拔重用科级干部共</w:t>
      </w:r>
      <w:r>
        <w:rPr>
          <w:rFonts w:ascii="Times New Roman" w:hAnsi="Times New Roman" w:eastAsia="方正仿宋_GBK" w:cs="Times New Roman"/>
          <w:sz w:val="32"/>
          <w:szCs w:val="32"/>
        </w:rPr>
        <w:t>98人次。稳步推进职务与职级并行工作，制定新区工作方案，在理清新区机构编制事宜、核实新区公务员个人信息的</w:t>
      </w:r>
      <w:r>
        <w:rPr>
          <w:rFonts w:hint="eastAsia" w:ascii="Times New Roman" w:hAnsi="Times New Roman" w:eastAsia="方正仿宋_GBK" w:cs="Times New Roman"/>
          <w:sz w:val="32"/>
          <w:szCs w:val="32"/>
        </w:rPr>
        <w:t>基础上，完成公务员职级套转</w:t>
      </w:r>
      <w:r>
        <w:rPr>
          <w:rFonts w:ascii="Times New Roman" w:hAnsi="Times New Roman" w:eastAsia="方正仿宋_GBK" w:cs="Times New Roman"/>
          <w:sz w:val="32"/>
          <w:szCs w:val="32"/>
        </w:rPr>
        <w:t>103人。制定《河源江东新区鼓励激励干部新时代新担当新作为的实施办法（试行）》，坚持严管和厚爱结合、激励和约束并重，对在新区发展主战场、服务群众等最前沿中表现突出的干部优先晋升职级，“十三五”期间共晋升职级39人次，同时建立干部关心关怀和慰问帮扶机制，落实体检、带薪年休假等制度。研究制定辅助工作人员管理办法和薪酬实施方案，通过高标准进入条件、优化考核办法、健全退出机制，提高薪酬标准，形成具有新区特色的辅助工作人员激励管理机制。“十三五”期间完成了公务员13人、一类辅助工作人员204</w:t>
      </w:r>
      <w:r>
        <w:rPr>
          <w:rFonts w:hint="eastAsia" w:ascii="Times New Roman" w:hAnsi="Times New Roman" w:eastAsia="方正仿宋_GBK" w:cs="Times New Roman"/>
          <w:sz w:val="32"/>
          <w:szCs w:val="32"/>
        </w:rPr>
        <w:t>人、事业编</w:t>
      </w:r>
      <w:r>
        <w:rPr>
          <w:rFonts w:ascii="Times New Roman" w:hAnsi="Times New Roman" w:eastAsia="方正仿宋_GBK" w:cs="Times New Roman"/>
          <w:sz w:val="32"/>
          <w:szCs w:val="32"/>
        </w:rPr>
        <w:t>133人、合同教师217人的招聘工作，为江东新区凝聚起更多想干事、能干事、会干事的中坚力量，为打造撬动河源未来城市高质量发展的区域平台、推动“河源未来城市发展核心”建设提供坚实人才保障。</w:t>
      </w:r>
    </w:p>
    <w:p>
      <w:pPr>
        <w:adjustRightInd w:val="0"/>
        <w:snapToGrid w:val="0"/>
        <w:spacing w:line="6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十三五”期间虽然取得了一定的成绩，但我们也必须清醒地认识到：经济下行压力持续加大，经济总量较小，融资、用地瓶颈亟待破解，财政收支及固定资产平稳运行压力大；管理体制机制亟待理顺，对接、融入“</w:t>
      </w:r>
      <w:bookmarkStart w:id="19" w:name="_Hlk62147530"/>
      <w:r>
        <w:rPr>
          <w:rFonts w:hint="eastAsia" w:ascii="Times New Roman" w:hAnsi="Times New Roman" w:eastAsia="方正仿宋_GBK" w:cs="Times New Roman"/>
          <w:sz w:val="32"/>
          <w:szCs w:val="32"/>
        </w:rPr>
        <w:t>双区</w:t>
      </w:r>
      <w:bookmarkEnd w:id="19"/>
      <w:r>
        <w:rPr>
          <w:rFonts w:hint="eastAsia" w:ascii="Times New Roman" w:hAnsi="Times New Roman" w:eastAsia="方正仿宋_GBK" w:cs="Times New Roman"/>
          <w:sz w:val="32"/>
          <w:szCs w:val="32"/>
        </w:rPr>
        <w:t>”的体制和平台缺乏；招商引资项目落地慢，缺乏支撑作用强的主导产业和龙头企业；区域发展不平衡不充分，城市化要素不足，基础设施和基本公共服务存在不少短板，社会事业发展滞后；防灾、减灾、救灾仍存在薄弱环节，应急管理体系有待进一步健全，等等。这些突出问题需要在“十四五”期间采取更有力措施加以改善与解决。</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20" w:name="_Toc59798184"/>
      <w:bookmarkStart w:id="21" w:name="_Toc61279506"/>
      <w:bookmarkStart w:id="22" w:name="_Toc67502316"/>
      <w:r>
        <w:rPr>
          <w:rFonts w:hint="eastAsia" w:ascii="Times New Roman" w:hAnsi="Times New Roman" w:eastAsia="方正楷体_GBK" w:cs="Times New Roman"/>
          <w:kern w:val="0"/>
          <w:sz w:val="32"/>
          <w:szCs w:val="32"/>
        </w:rPr>
        <w:t>第二节 发展环境</w:t>
      </w:r>
      <w:bookmarkEnd w:id="20"/>
      <w:bookmarkEnd w:id="21"/>
      <w:bookmarkEnd w:id="22"/>
    </w:p>
    <w:p>
      <w:pPr>
        <w:adjustRightInd w:val="0"/>
        <w:snapToGrid w:val="0"/>
        <w:spacing w:line="5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“十四五”时期，世界正处于百年未有之大变局中，国内经济发展进入新阶段，国民经济和社会发展的外部环境和内部环境远比“十三五”要复杂，我区发展既有多重战略机遇叠加，亦有诸多风险隐忧挑战。</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从国际看，</w:t>
      </w:r>
      <w:r>
        <w:rPr>
          <w:rFonts w:hint="eastAsia" w:ascii="Times New Roman" w:hAnsi="Times New Roman" w:eastAsia="方正仿宋_GBK" w:cs="Times New Roman"/>
          <w:sz w:val="32"/>
          <w:szCs w:val="32"/>
        </w:rPr>
        <w:t>新冠肺炎疫情扰乱了全球供应链，冲击了各国经济稳定，世界经济增速普遍放慢。我区既面临能够深度参与国内外前沿科技和产业发展，创新能力将不断提升的发展机遇，也面临工业品的市场竞争力和份额下降压力增大，难以适应严峻的国际市场竞争等一系列挑战。</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从国内看，</w:t>
      </w:r>
      <w:r>
        <w:rPr>
          <w:rFonts w:hint="eastAsia" w:ascii="Times New Roman" w:hAnsi="Times New Roman" w:eastAsia="方正仿宋_GBK" w:cs="Times New Roman"/>
          <w:sz w:val="32"/>
          <w:szCs w:val="32"/>
        </w:rPr>
        <w:t>我国经济已由高速增长阶段转向高质量发展阶段，正处在转变发展方式、优化经济结构、转换增长动力的跨越关口。习近平总书记提出要加快构建完整的内需体系，逐步形成</w:t>
      </w:r>
      <w:bookmarkStart w:id="23" w:name="_Hlk62147580"/>
      <w:r>
        <w:rPr>
          <w:rFonts w:hint="eastAsia" w:ascii="Times New Roman" w:hAnsi="Times New Roman" w:eastAsia="方正仿宋_GBK" w:cs="Times New Roman"/>
          <w:sz w:val="32"/>
          <w:szCs w:val="32"/>
        </w:rPr>
        <w:t>以“</w:t>
      </w:r>
      <w:r>
        <w:rPr>
          <w:rFonts w:hint="eastAsia" w:ascii="Times New Roman" w:hAnsi="Times New Roman" w:eastAsia="方正仿宋_GBK" w:cs="Times New Roman"/>
          <w:sz w:val="32"/>
          <w:szCs w:val="32"/>
          <w:lang w:val="en-US" w:eastAsia="zh-CN"/>
        </w:rPr>
        <w:t>以</w:t>
      </w:r>
      <w:r>
        <w:rPr>
          <w:rFonts w:hint="eastAsia" w:ascii="Times New Roman" w:hAnsi="Times New Roman" w:eastAsia="方正仿宋_GBK" w:cs="Times New Roman"/>
          <w:sz w:val="32"/>
          <w:szCs w:val="32"/>
        </w:rPr>
        <w:t>国内大循环为主体、国内国际双循环相互促进的新发展格局</w:t>
      </w:r>
      <w:bookmarkEnd w:id="23"/>
      <w:r>
        <w:rPr>
          <w:rFonts w:hint="eastAsia" w:ascii="Times New Roman" w:hAnsi="Times New Roman" w:eastAsia="方正仿宋_GBK" w:cs="Times New Roman"/>
          <w:sz w:val="32"/>
          <w:szCs w:val="32"/>
        </w:rPr>
        <w:t>”的强国方略，</w:t>
      </w:r>
      <w:bookmarkStart w:id="24" w:name="_Hlk62147571"/>
      <w:r>
        <w:rPr>
          <w:rFonts w:hint="eastAsia" w:ascii="Times New Roman" w:hAnsi="Times New Roman" w:eastAsia="方正仿宋_GBK" w:cs="Times New Roman"/>
          <w:sz w:val="32"/>
          <w:szCs w:val="32"/>
        </w:rPr>
        <w:t>双循环</w:t>
      </w:r>
      <w:bookmarkEnd w:id="24"/>
      <w:r>
        <w:rPr>
          <w:rFonts w:hint="eastAsia" w:ascii="Times New Roman" w:hAnsi="Times New Roman" w:eastAsia="方正仿宋_GBK" w:cs="Times New Roman"/>
          <w:sz w:val="32"/>
          <w:szCs w:val="32"/>
        </w:rPr>
        <w:t>将成为“十四五”乃至中长期发展战略。我区要立足新发展格局，全面促进产业结构升级，积极扩大内需，优化公共服务配置，促进有效投资和发展要素的合理流动，推进新区经济高质量发展。</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从省内看，</w:t>
      </w:r>
      <w:r>
        <w:rPr>
          <w:rFonts w:hint="eastAsia" w:ascii="Times New Roman" w:hAnsi="Times New Roman" w:eastAsia="方正仿宋_GBK" w:cs="Times New Roman"/>
          <w:sz w:val="32"/>
          <w:szCs w:val="32"/>
        </w:rPr>
        <w:t>构建深圳都市圈、构建“</w:t>
      </w:r>
      <w:bookmarkStart w:id="25" w:name="_Hlk62147591"/>
      <w:r>
        <w:rPr>
          <w:rFonts w:hint="eastAsia" w:ascii="Times New Roman" w:hAnsi="Times New Roman" w:eastAsia="方正仿宋_GBK" w:cs="Times New Roman"/>
          <w:sz w:val="32"/>
          <w:szCs w:val="32"/>
        </w:rPr>
        <w:t>一核一带一区</w:t>
      </w:r>
      <w:bookmarkEnd w:id="25"/>
      <w:r>
        <w:rPr>
          <w:rFonts w:hint="eastAsia" w:ascii="Times New Roman" w:hAnsi="Times New Roman" w:eastAsia="方正仿宋_GBK" w:cs="Times New Roman"/>
          <w:sz w:val="32"/>
          <w:szCs w:val="32"/>
        </w:rPr>
        <w:t>”区域发展新格局，是广东省委贯彻落实习近平总书记关于区域协调发展的战略思想和对广东提出实现“</w:t>
      </w:r>
      <w:bookmarkStart w:id="26" w:name="_Hlk62147605"/>
      <w:r>
        <w:rPr>
          <w:rFonts w:hint="eastAsia" w:ascii="Times New Roman" w:hAnsi="Times New Roman" w:eastAsia="方正仿宋_GBK" w:cs="Times New Roman"/>
          <w:sz w:val="32"/>
          <w:szCs w:val="32"/>
        </w:rPr>
        <w:t>四个走在全国前列</w:t>
      </w:r>
      <w:bookmarkEnd w:id="26"/>
      <w:r>
        <w:rPr>
          <w:rFonts w:hint="eastAsia" w:ascii="Times New Roman" w:hAnsi="Times New Roman" w:eastAsia="方正仿宋_GBK" w:cs="Times New Roman"/>
          <w:sz w:val="32"/>
          <w:szCs w:val="32"/>
        </w:rPr>
        <w:t>”、当好“</w:t>
      </w:r>
      <w:bookmarkStart w:id="27" w:name="_Hlk62147612"/>
      <w:r>
        <w:rPr>
          <w:rFonts w:hint="eastAsia" w:ascii="Times New Roman" w:hAnsi="Times New Roman" w:eastAsia="方正仿宋_GBK" w:cs="Times New Roman"/>
          <w:sz w:val="32"/>
          <w:szCs w:val="32"/>
        </w:rPr>
        <w:t>两个重要窗口</w:t>
      </w:r>
      <w:bookmarkEnd w:id="27"/>
      <w:r>
        <w:rPr>
          <w:rFonts w:hint="eastAsia" w:ascii="Times New Roman" w:hAnsi="Times New Roman" w:eastAsia="方正仿宋_GBK" w:cs="Times New Roman"/>
          <w:sz w:val="32"/>
          <w:szCs w:val="32"/>
        </w:rPr>
        <w:t>”的战略部署，我区要抢抓机遇合理规划布局，明晰区域功能定位，优化空间结构，对接“一核一带一区”区域发展新格局，发挥新区独有的“核”的特质、“带”的潜质、“区”的本质，全力构建“</w:t>
      </w:r>
      <w:bookmarkStart w:id="28" w:name="_Hlk62147621"/>
      <w:r>
        <w:rPr>
          <w:rFonts w:hint="eastAsia" w:ascii="Times New Roman" w:hAnsi="Times New Roman" w:eastAsia="方正仿宋_GBK" w:cs="Times New Roman"/>
          <w:sz w:val="32"/>
          <w:szCs w:val="32"/>
        </w:rPr>
        <w:t>三点三带四组团</w:t>
      </w:r>
      <w:bookmarkEnd w:id="28"/>
      <w:r>
        <w:rPr>
          <w:rFonts w:hint="eastAsia" w:ascii="Times New Roman" w:hAnsi="Times New Roman" w:eastAsia="方正仿宋_GBK" w:cs="Times New Roman"/>
          <w:sz w:val="32"/>
          <w:szCs w:val="32"/>
        </w:rPr>
        <w:t>”战略布局。</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从市内看，</w:t>
      </w:r>
      <w:r>
        <w:rPr>
          <w:rFonts w:hint="eastAsia" w:ascii="Times New Roman" w:hAnsi="Times New Roman" w:eastAsia="方正仿宋_GBK" w:cs="Times New Roman"/>
          <w:sz w:val="32"/>
          <w:szCs w:val="32"/>
        </w:rPr>
        <w:t>河源全力推进“示范区”“排头兵”和“两个河源”建设，积极“融湾”“融深”，我区作为撬动河源未来城市高质量发展的区域平台作用加快凸显，有利于促进我区经济、产业、城市建设等各方面的发展。</w:t>
      </w:r>
    </w:p>
    <w:p>
      <w:pPr>
        <w:adjustRightInd w:val="0"/>
        <w:snapToGrid w:val="0"/>
        <w:spacing w:line="580" w:lineRule="exact"/>
        <w:ind w:firstLine="643"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一、面临机遇</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全球新一轮产业革命正在催生新经济。</w:t>
      </w:r>
      <w:r>
        <w:rPr>
          <w:rFonts w:hint="eastAsia" w:ascii="Times New Roman" w:hAnsi="Times New Roman" w:eastAsia="方正仿宋_GBK" w:cs="Times New Roman"/>
          <w:sz w:val="32"/>
          <w:szCs w:val="32"/>
        </w:rPr>
        <w:t>当前，第四次科技革命和产业变革正在孕育兴起，同我国转变发展方式形成历史性交汇期，机遇千载难逢。世界科技发展面临以下趋势：一是移动互联网、智能终端、大数据、云计算、高端芯片等新一代信息技术发展将带动众多产业变革和创新；二是围绕新能源、气候变化、空间、海洋开发的技术创新更加密集；三是绿色经济、低碳技术等新兴产业蓬勃兴起；四是生命科学、生物技术带动形成庞大的健康、现代农业、生物能源、生物制造、环保等产业。随着新技术、新产业的发展，不同产业之间边界渐趋模糊，新兴产业的空间巨大广阔。伴随着发展战略性新兴产业的定位，我区能够深度参与国内外前沿科技和产业发展，创新能力将不断提升，新产业、新业态、新模式不断涌现，为推动经济高质量发展创造了前所未有的重大机遇。</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绿色发展成为我国经济发展的主流形态。</w:t>
      </w:r>
      <w:r>
        <w:rPr>
          <w:rFonts w:hint="eastAsia" w:ascii="Times New Roman" w:hAnsi="Times New Roman" w:eastAsia="方正仿宋_GBK" w:cs="Times New Roman"/>
          <w:sz w:val="32"/>
          <w:szCs w:val="32"/>
        </w:rPr>
        <w:t>习近平总书记强调，要保持加强生态文明建设的战略定力，探索以生态优先、绿色发展为导向的高质量发展新路子。绿色经济是实现绿色发展的物质基础和重要载体，发展绿色经济是推动绿色发展、建设生态文明的核心内容和重要支撑。在习近平总书记生态文明建设重要战略思想指引下，我区将以更大的力度、更实的举措推进生态文明建设，加快形成绿色生产方式和生活方式，重点发展与生态功能相适应的生态产业，着力解决突出环境问题，努力实现“绿富双赢”。</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“双区”建设带来的机遇。</w:t>
      </w:r>
      <w:r>
        <w:rPr>
          <w:rFonts w:hint="eastAsia" w:ascii="Times New Roman" w:hAnsi="Times New Roman" w:eastAsia="方正仿宋_GBK" w:cs="Times New Roman"/>
          <w:sz w:val="32"/>
          <w:szCs w:val="32"/>
        </w:rPr>
        <w:t>粤港澳大湾区建设是习近平总书记亲自谋划、亲自部署、亲自推动的国家战略，是广东改革开放的“二次创业”。深圳建设中国特色社会主义先行示范区有利于更好实施粤港澳大湾区战略。我区处于珠江东岸</w:t>
      </w:r>
      <w:bookmarkStart w:id="29" w:name="_Hlk62147665"/>
      <w:r>
        <w:rPr>
          <w:rFonts w:hint="eastAsia" w:ascii="Times New Roman" w:hAnsi="Times New Roman" w:eastAsia="方正仿宋_GBK" w:cs="Times New Roman"/>
          <w:sz w:val="32"/>
          <w:szCs w:val="32"/>
        </w:rPr>
        <w:t>深莞惠经济圈</w:t>
      </w:r>
      <w:bookmarkEnd w:id="29"/>
      <w:r>
        <w:rPr>
          <w:rFonts w:hint="eastAsia" w:ascii="Times New Roman" w:hAnsi="Times New Roman" w:eastAsia="方正仿宋_GBK" w:cs="Times New Roman"/>
          <w:sz w:val="32"/>
          <w:szCs w:val="32"/>
        </w:rPr>
        <w:t>辐射带动的第一层，距离大湾区核心城市广州、深圳、香港均在</w:t>
      </w:r>
      <w:r>
        <w:rPr>
          <w:rFonts w:ascii="Times New Roman" w:hAnsi="Times New Roman" w:eastAsia="方正仿宋_GBK" w:cs="Times New Roman"/>
          <w:sz w:val="32"/>
          <w:szCs w:val="32"/>
        </w:rPr>
        <w:t>160公里以内，在融入粤港澳大湾区建设、利用珠三角和港澳优质资源等方面具有天然优势。同时，利用我区在产业布局、产业基础和发展空间等方面的优势，助推加快融入“双区”现代产业体系建设，打造大湾区现代化产业重要战略腹地。</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被赋予河源未来城市发展核心的战略地位。</w:t>
      </w:r>
      <w:r>
        <w:rPr>
          <w:rFonts w:hint="eastAsia" w:ascii="Times New Roman" w:hAnsi="Times New Roman" w:eastAsia="方正仿宋_GBK" w:cs="Times New Roman"/>
          <w:sz w:val="32"/>
          <w:szCs w:val="32"/>
        </w:rPr>
        <w:t>新区是河源中心城区扩容提质的主战场、产城融合的主平台、城市发展的新引擎，被定位为河源未来城市发展核心，是我市融入粤港澳大湾区世界级城市群的核心组成部分和核心功能平台。自新区成立以来，市委、市政府把新区发展作为头号工程来抓，集中资源、集中力量支持新区加速提效破局、引领现代河源发展。我区更应积极谋篇布局，把握城市向南融湾发展大势，聚焦关键领域推动高质量发展，为</w:t>
      </w:r>
      <w:bookmarkStart w:id="30" w:name="_Hlk62147702"/>
      <w:r>
        <w:rPr>
          <w:rFonts w:hint="eastAsia" w:ascii="Times New Roman" w:hAnsi="Times New Roman" w:eastAsia="方正仿宋_GBK" w:cs="Times New Roman"/>
          <w:sz w:val="32"/>
          <w:szCs w:val="32"/>
        </w:rPr>
        <w:t>“示范区”、“排头兵”和“两个河源”</w:t>
      </w:r>
      <w:bookmarkEnd w:id="30"/>
      <w:r>
        <w:rPr>
          <w:rFonts w:hint="eastAsia" w:ascii="Times New Roman" w:hAnsi="Times New Roman" w:eastAsia="方正仿宋_GBK" w:cs="Times New Roman"/>
          <w:sz w:val="32"/>
          <w:szCs w:val="32"/>
        </w:rPr>
        <w:t>建设作出新区奉献、新区担当。</w:t>
      </w:r>
    </w:p>
    <w:p>
      <w:pPr>
        <w:adjustRightInd w:val="0"/>
        <w:snapToGrid w:val="0"/>
        <w:spacing w:line="580" w:lineRule="exact"/>
        <w:ind w:firstLine="643"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二、面临挑战</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国际经济形势严峻复杂。</w:t>
      </w:r>
      <w:r>
        <w:rPr>
          <w:rFonts w:hint="eastAsia" w:ascii="Times New Roman" w:hAnsi="Times New Roman" w:eastAsia="方正仿宋_GBK" w:cs="Times New Roman"/>
          <w:sz w:val="32"/>
          <w:szCs w:val="32"/>
        </w:rPr>
        <w:t>随着各国特别是大国之间力量对比的不断变化，世界经济发展的不确定性也在逐步加大，突出表现在如下四个方面：全球性保护主义叠加、劳动力要素供给下降和生产技术水平停滞，导致各国潜在增长率不断下降。国际贸易增速前景堪忧，国际直接投资稳定性严重不足。全球债务水平持续攀高，特别是新兴经济体金融市场风险日益集聚。各个经济体增长周期不同步，发达国家货币政策负外溢性凸显。新冠疫情全球大流行进一步为放缓的全球经济蒙上阴影。严峻的全球竞争形势，将给我区带来新一轮挑战。</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湾区核心城市对资源的虹吸效应。</w:t>
      </w:r>
      <w:r>
        <w:rPr>
          <w:rFonts w:hint="eastAsia" w:ascii="Times New Roman" w:hAnsi="Times New Roman" w:eastAsia="方正仿宋_GBK" w:cs="Times New Roman"/>
          <w:sz w:val="32"/>
          <w:szCs w:val="32"/>
        </w:rPr>
        <w:t>随着粤港澳大湾区各项配套设施的不断发展，交流合作、生产生活等日益便捷，穗港深等湾区核心城市的优势不断凸显，对大湾区内资源的虹吸效应显著增强，我区将面临着新一轮资源外流的风险。目前新区的城市基础设施不够完善，土地、资金、人才等生产要素的政策支持缺乏，综合吸引力相对较低，产业园区还存在着配套不完善，生活环境、人文环境、科研环境优势不够突出等情况，吸引和留住高层次人才比较困难，难以在短期内实现快速发展。</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经济社会发展水平整体较低。</w:t>
      </w:r>
      <w:r>
        <w:rPr>
          <w:rFonts w:hint="eastAsia" w:ascii="Times New Roman" w:hAnsi="Times New Roman" w:eastAsia="方正仿宋_GBK" w:cs="Times New Roman"/>
          <w:sz w:val="32"/>
          <w:szCs w:val="32"/>
        </w:rPr>
        <w:t>新区成立历史较短，城市软硬件环境尚待完善，轨道交通建设滞后于周边地区，难以有效集聚高端要素资源，产业结构不合理，高新技术产业弱小，企业的整体素质和竞争力不强，主导产业优势不明显，新的经济增长点不突出。社会事业短板较多。城乡基础设施仍然薄弱，农民和部分城镇居民收入增长缓慢，就业压力较大，人口、资源和环境与经济社会发展的矛盾仍然突出。在新一轮的区域开放合作中，经济发展受到国际国内双重挤压，区域竞争日趋白热化。</w:t>
      </w:r>
    </w:p>
    <w:p>
      <w:pPr>
        <w:keepNext/>
        <w:keepLines/>
        <w:adjustRightInd w:val="0"/>
        <w:snapToGrid w:val="0"/>
        <w:spacing w:before="156" w:beforeLines="50" w:after="156" w:afterLines="50" w:line="580" w:lineRule="exact"/>
        <w:jc w:val="center"/>
        <w:outlineLvl w:val="0"/>
        <w:rPr>
          <w:rFonts w:ascii="Times New Roman" w:hAnsi="Times New Roman" w:eastAsia="方正黑体_GBK" w:cs="Times New Roman"/>
          <w:bCs/>
          <w:kern w:val="44"/>
          <w:sz w:val="32"/>
          <w:szCs w:val="32"/>
          <w:lang w:val="zh-CN"/>
        </w:rPr>
      </w:pPr>
      <w:bookmarkStart w:id="31" w:name="_Toc59798185"/>
      <w:bookmarkStart w:id="32" w:name="_Toc61279507"/>
      <w:bookmarkStart w:id="33" w:name="_Toc67502317"/>
      <w:r>
        <w:rPr>
          <w:rFonts w:hint="eastAsia" w:ascii="Times New Roman" w:hAnsi="Times New Roman" w:eastAsia="方正黑体_GBK" w:cs="Times New Roman"/>
          <w:bCs/>
          <w:kern w:val="44"/>
          <w:sz w:val="32"/>
          <w:szCs w:val="32"/>
          <w:lang w:val="zh-CN"/>
        </w:rPr>
        <w:t>第二章 总体要求和发展目标</w:t>
      </w:r>
      <w:bookmarkEnd w:id="31"/>
      <w:bookmarkEnd w:id="32"/>
      <w:bookmarkEnd w:id="33"/>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十四五”时期是开启全面建设社会主义现代化新征程的起步期，也是奋力打造“撬动河源未来城市高质量发展的区域平台”，深入推进“河源未来城市发展核心”建设的关键阶段。我们要始终保持开拓进取的锐气和昂扬向上的士气，努力为河源在全面建设社会主义现代化国家新征程中谱写“示范区”“排头兵”新篇章，体现江东担当、江东作为、江东贡献。</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34" w:name="_Toc61279508"/>
      <w:bookmarkStart w:id="35" w:name="_Toc67502318"/>
      <w:bookmarkStart w:id="36" w:name="_Toc59798186"/>
      <w:r>
        <w:rPr>
          <w:rFonts w:hint="eastAsia" w:ascii="Times New Roman" w:hAnsi="Times New Roman" w:eastAsia="方正楷体_GBK" w:cs="Times New Roman"/>
          <w:kern w:val="0"/>
          <w:sz w:val="32"/>
          <w:szCs w:val="32"/>
        </w:rPr>
        <w:t>第一节 指导思想</w:t>
      </w:r>
      <w:bookmarkEnd w:id="34"/>
      <w:bookmarkEnd w:id="35"/>
      <w:bookmarkEnd w:id="36"/>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深入贯彻习近平总书记对广东系列重要讲话和重要指示批示精神，统筹推进“五位一体”总体布局，协调推进“四个全面”战略布局，坚定不移贯彻新发展理念，坚持稳中求进工作总基调，以推动高质量发展为主题，以深化供给侧结构性改革为主线，以改革创新为根本动力，以满足人民日益增长的美好生活需要为根本目的，持之以恒落实“</w:t>
      </w:r>
      <w:r>
        <w:rPr>
          <w:rFonts w:ascii="Times New Roman" w:hAnsi="Times New Roman" w:eastAsia="方正仿宋_GBK" w:cs="Times New Roman"/>
          <w:sz w:val="32"/>
          <w:szCs w:val="22"/>
        </w:rPr>
        <w:t>1+1+9”工作部署，坚持以“融湾”为纲、“融深”为牵引，立足新发展格局，加快建设现代化经济体系，推进治理体系和治理能力现代化，统筹发展和安全，全域全面服务全省打造新发展格局的战略支点和全市推动“示范区”“排头兵”和“两个河源”建设，“打造城市高质量发展的区域平台”成效初显，“河源未来城市发展核心”格局基本形成，经济实力、发展活力大幅提升</w:t>
      </w:r>
      <w:r>
        <w:rPr>
          <w:rFonts w:hint="eastAsia" w:ascii="Times New Roman" w:hAnsi="Times New Roman" w:eastAsia="方正仿宋_GBK" w:cs="Times New Roman"/>
          <w:sz w:val="32"/>
          <w:szCs w:val="22"/>
        </w:rPr>
        <w:t>。</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37" w:name="_Toc59798187"/>
      <w:bookmarkStart w:id="38" w:name="_Toc67502319"/>
      <w:bookmarkStart w:id="39" w:name="_Toc61279509"/>
      <w:r>
        <w:rPr>
          <w:rFonts w:hint="eastAsia" w:ascii="Times New Roman" w:hAnsi="Times New Roman" w:eastAsia="方正楷体_GBK" w:cs="Times New Roman"/>
          <w:kern w:val="0"/>
          <w:sz w:val="32"/>
          <w:szCs w:val="32"/>
        </w:rPr>
        <w:t>第二节 发展原则</w:t>
      </w:r>
      <w:bookmarkEnd w:id="37"/>
      <w:bookmarkEnd w:id="38"/>
      <w:bookmarkEnd w:id="39"/>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——坚持党的全面领导。</w:t>
      </w:r>
      <w:r>
        <w:rPr>
          <w:rFonts w:hint="eastAsia" w:ascii="Times New Roman" w:hAnsi="Times New Roman" w:eastAsia="方正仿宋_GBK" w:cs="Times New Roman"/>
          <w:sz w:val="32"/>
          <w:szCs w:val="22"/>
        </w:rPr>
        <w:t>坚决维护习近平总书记党中央的核心、全党的核心地位，坚决维护党中央权威和集中统一领导，坚持和完善党领导经济社会发展的体制机制，坚持和完善中国特色社会主义制度，提高贯彻</w:t>
      </w:r>
      <w:bookmarkStart w:id="40" w:name="_Hlk62147853"/>
      <w:r>
        <w:rPr>
          <w:rFonts w:hint="eastAsia" w:ascii="Times New Roman" w:hAnsi="Times New Roman" w:eastAsia="方正仿宋_GBK" w:cs="Times New Roman"/>
          <w:sz w:val="32"/>
          <w:szCs w:val="22"/>
        </w:rPr>
        <w:t>新发展理念、构建新发展格局</w:t>
      </w:r>
      <w:bookmarkEnd w:id="40"/>
      <w:r>
        <w:rPr>
          <w:rFonts w:hint="eastAsia" w:ascii="Times New Roman" w:hAnsi="Times New Roman" w:eastAsia="方正仿宋_GBK" w:cs="Times New Roman"/>
          <w:sz w:val="32"/>
          <w:szCs w:val="22"/>
        </w:rPr>
        <w:t>能力和水平，为实现高质量发展提供根本保证。</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——坚持以人民为中心。</w:t>
      </w:r>
      <w:r>
        <w:rPr>
          <w:rFonts w:hint="eastAsia" w:ascii="Times New Roman" w:hAnsi="Times New Roman" w:eastAsia="方正仿宋_GBK" w:cs="Times New Roman"/>
          <w:sz w:val="32"/>
          <w:szCs w:val="22"/>
        </w:rPr>
        <w:t>坚持人民主体地位，坚持共同富裕方向，始终做到发展为了人民、发展依靠人民、发展成果由人民共享，维护人民根本利益，激发全区人民的积极性、主动性、创造性，促进社会公平，增进民生福祉，不断实现人民群众对美好生活的向往。</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——坚持新发展理念。</w:t>
      </w:r>
      <w:r>
        <w:rPr>
          <w:rFonts w:hint="eastAsia" w:ascii="Times New Roman" w:hAnsi="Times New Roman" w:eastAsia="方正仿宋_GBK" w:cs="Times New Roman"/>
          <w:sz w:val="32"/>
          <w:szCs w:val="22"/>
        </w:rPr>
        <w:t>把新发展理念贯穿发展全过程和各领域，服务全省率先探索构建新发展格局，切实转变发展方式，加快推动质量变革、效率变革、动力变革，实现更高质量、更有效率、更加公平、更可持续、更为安全的发展。</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——坚持深化改革开放。</w:t>
      </w:r>
      <w:r>
        <w:rPr>
          <w:rFonts w:hint="eastAsia" w:ascii="Times New Roman" w:hAnsi="Times New Roman" w:eastAsia="方正仿宋_GBK" w:cs="Times New Roman"/>
          <w:sz w:val="32"/>
          <w:szCs w:val="22"/>
        </w:rPr>
        <w:t>以更大魄力在更高起点上推进改革开放，坚持摸着石头过河和落实</w:t>
      </w:r>
      <w:bookmarkStart w:id="41" w:name="_Hlk62147900"/>
      <w:r>
        <w:rPr>
          <w:rFonts w:hint="eastAsia" w:ascii="Times New Roman" w:hAnsi="Times New Roman" w:eastAsia="方正仿宋_GBK" w:cs="Times New Roman"/>
          <w:sz w:val="32"/>
          <w:szCs w:val="22"/>
        </w:rPr>
        <w:t>顶层设计</w:t>
      </w:r>
      <w:bookmarkEnd w:id="41"/>
      <w:r>
        <w:rPr>
          <w:rFonts w:hint="eastAsia" w:ascii="Times New Roman" w:hAnsi="Times New Roman" w:eastAsia="方正仿宋_GBK" w:cs="Times New Roman"/>
          <w:sz w:val="32"/>
          <w:szCs w:val="22"/>
        </w:rPr>
        <w:t>相结合，加强治理体系和治理能力现代化建设，破除制约高质量发展、高品质生活的体制机制障碍，强化有利于提高资源配置效率、有利于调动全社会积极性的重大改革开放举措，持续增强发展动力和活力。</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——坚持系统观念。</w:t>
      </w:r>
      <w:r>
        <w:rPr>
          <w:rFonts w:hint="eastAsia" w:ascii="Times New Roman" w:hAnsi="Times New Roman" w:eastAsia="方正仿宋_GBK" w:cs="Times New Roman"/>
          <w:sz w:val="32"/>
          <w:szCs w:val="22"/>
        </w:rPr>
        <w:t>加强前瞻性思考、全局性谋划、战略性布局、整体性推进，坚决服从服务全国全省全市发展大局，坚持全区一盘棋，更好发挥各级各方面积极性，办好发展安全两件大事，着力固根基、扬优势、补短板、强弱项，注重防范化解重大风险挑战，实现发展质量、结构、规模、速度、效益、安全相统一。</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42" w:name="_Toc61279510"/>
      <w:bookmarkStart w:id="43" w:name="_Toc59798188"/>
      <w:bookmarkStart w:id="44" w:name="_Toc67502320"/>
      <w:r>
        <w:rPr>
          <w:rFonts w:hint="eastAsia" w:ascii="Times New Roman" w:hAnsi="Times New Roman" w:eastAsia="方正楷体_GBK" w:cs="Times New Roman"/>
          <w:kern w:val="0"/>
          <w:sz w:val="32"/>
          <w:szCs w:val="32"/>
        </w:rPr>
        <w:t>第三节 发展目标</w:t>
      </w:r>
      <w:bookmarkEnd w:id="42"/>
      <w:bookmarkEnd w:id="43"/>
      <w:bookmarkEnd w:id="44"/>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展望二〇三五</w:t>
      </w:r>
      <w:r>
        <w:rPr>
          <w:rFonts w:ascii="Times New Roman" w:hAnsi="Times New Roman" w:eastAsia="方正仿宋_GBK" w:cs="Times New Roman"/>
          <w:sz w:val="32"/>
          <w:szCs w:val="22"/>
        </w:rPr>
        <w:t>年，经过十五年的发展，我区经济社会发展水平显著提升，逐步融入大湾区世界级城市群、</w:t>
      </w:r>
      <w:bookmarkStart w:id="45" w:name="_Hlk62147926"/>
      <w:r>
        <w:rPr>
          <w:rFonts w:ascii="Times New Roman" w:hAnsi="Times New Roman" w:eastAsia="方正仿宋_GBK" w:cs="Times New Roman"/>
          <w:sz w:val="32"/>
          <w:szCs w:val="22"/>
        </w:rPr>
        <w:t>深圳都市圈</w:t>
      </w:r>
      <w:bookmarkEnd w:id="45"/>
      <w:r>
        <w:rPr>
          <w:rFonts w:ascii="Times New Roman" w:hAnsi="Times New Roman" w:eastAsia="方正仿宋_GBK" w:cs="Times New Roman"/>
          <w:sz w:val="32"/>
          <w:szCs w:val="22"/>
        </w:rPr>
        <w:t>核心组成部分和核心功能区，成为河源未来城市发展的核心。现代化生态经济体系基本建立，</w:t>
      </w:r>
      <w:r>
        <w:rPr>
          <w:rFonts w:hint="eastAsia" w:ascii="Times New Roman" w:hAnsi="Times New Roman" w:eastAsia="方正仿宋_GBK" w:cs="Times New Roman"/>
          <w:sz w:val="32"/>
          <w:szCs w:val="22"/>
        </w:rPr>
        <w:t>各类生产要素配置优化均衡，新型工业化、信息化、城镇化、农业现代化基本实现。</w:t>
      </w:r>
      <w:r>
        <w:rPr>
          <w:rFonts w:ascii="Times New Roman" w:hAnsi="Times New Roman" w:eastAsia="方正仿宋_GBK" w:cs="Times New Roman"/>
          <w:sz w:val="32"/>
          <w:szCs w:val="22"/>
        </w:rPr>
        <w:t>科技创新能力持续增强，绿色发展生产生活方式基本形成。</w:t>
      </w:r>
      <w:r>
        <w:rPr>
          <w:rFonts w:hint="eastAsia" w:ascii="Times New Roman" w:hAnsi="Times New Roman" w:eastAsia="方正仿宋_GBK" w:cs="Times New Roman"/>
          <w:sz w:val="32"/>
          <w:szCs w:val="22"/>
        </w:rPr>
        <w:t>居民素质和社会文明程度达到新高度，文化、教育、人才、体育、健康等各项事业取得新进展，文化软实力显著增强。</w:t>
      </w:r>
      <w:r>
        <w:rPr>
          <w:rFonts w:ascii="Times New Roman" w:hAnsi="Times New Roman" w:eastAsia="方正仿宋_GBK" w:cs="Times New Roman"/>
          <w:sz w:val="32"/>
          <w:szCs w:val="22"/>
        </w:rPr>
        <w:t>城乡协调发展取得新成就，形成协调发展新格局。民生福祉进一步增强，基本公共服务均等化基本实现，全体人民共同富裕迈出坚实步伐，社会主义现代化基本实现。</w:t>
      </w:r>
      <w:r>
        <w:rPr>
          <w:rFonts w:hint="eastAsia" w:ascii="Times New Roman" w:hAnsi="Times New Roman" w:eastAsia="方正仿宋_GBK" w:cs="Times New Roman"/>
          <w:sz w:val="32"/>
          <w:szCs w:val="22"/>
        </w:rPr>
        <w:t>治理体系和治理能力现代化基本实现，基本建成法治江东、法治政府、法治社会。</w:t>
      </w:r>
    </w:p>
    <w:p>
      <w:pPr>
        <w:adjustRightInd w:val="0"/>
        <w:snapToGrid w:val="0"/>
        <w:spacing w:line="56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锚定二〇三五年远景目标，着眼新区发展阶段总定位总目标，综合研判未来发展趋势和条件，今后五年我区经济社会发展实现以下主要目标。</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经济发展取得新成效。</w:t>
      </w:r>
      <w:r>
        <w:rPr>
          <w:rFonts w:hint="eastAsia" w:ascii="Times New Roman" w:hAnsi="Times New Roman" w:eastAsia="方正仿宋_GBK" w:cs="Times New Roman"/>
          <w:sz w:val="32"/>
          <w:szCs w:val="22"/>
        </w:rPr>
        <w:t>主要经济指标增幅实现“三个不低于”（不低于“十三五”时期新区和“十四五”时期省、市平均水平）、“三个翻番”（</w:t>
      </w:r>
      <w:r>
        <w:rPr>
          <w:rFonts w:ascii="Times New Roman" w:hAnsi="Times New Roman" w:eastAsia="方正仿宋_GBK" w:cs="Times New Roman"/>
          <w:sz w:val="32"/>
          <w:szCs w:val="22"/>
        </w:rPr>
        <w:t>GDP、规模以上工业增加值、一</w:t>
      </w:r>
      <w:r>
        <w:rPr>
          <w:rFonts w:hint="eastAsia" w:ascii="Times New Roman" w:hAnsi="Times New Roman" w:eastAsia="方正仿宋_GBK" w:cs="Times New Roman"/>
          <w:sz w:val="32"/>
          <w:szCs w:val="22"/>
        </w:rPr>
        <w:t>般公共预算收入）、“两个</w:t>
      </w:r>
      <w:r>
        <w:rPr>
          <w:rFonts w:ascii="Times New Roman" w:hAnsi="Times New Roman" w:eastAsia="方正仿宋_GBK" w:cs="Times New Roman"/>
          <w:sz w:val="32"/>
          <w:szCs w:val="22"/>
        </w:rPr>
        <w:t>500亿”（固定资产投资、国有企业</w:t>
      </w:r>
      <w:r>
        <w:rPr>
          <w:rFonts w:hint="eastAsia" w:ascii="Times New Roman" w:hAnsi="Times New Roman" w:eastAsia="方正仿宋_GBK" w:cs="Times New Roman"/>
          <w:sz w:val="32"/>
          <w:szCs w:val="22"/>
        </w:rPr>
        <w:t>总资产到</w:t>
      </w:r>
      <w:r>
        <w:rPr>
          <w:rFonts w:ascii="Times New Roman" w:hAnsi="Times New Roman" w:eastAsia="方正仿宋_GBK" w:cs="Times New Roman"/>
          <w:sz w:val="32"/>
          <w:szCs w:val="22"/>
        </w:rPr>
        <w:t>2025年均达到500亿元）目标，产业发展实现“三个1”（打造1个百亿级产业集群、打造10家产值10亿元以上的</w:t>
      </w:r>
      <w:r>
        <w:rPr>
          <w:rFonts w:hint="eastAsia" w:ascii="Times New Roman" w:hAnsi="Times New Roman" w:eastAsia="方正仿宋_GBK" w:cs="Times New Roman"/>
          <w:sz w:val="32"/>
          <w:szCs w:val="22"/>
        </w:rPr>
        <w:t>龙头企业、打造</w:t>
      </w:r>
      <w:r>
        <w:rPr>
          <w:rFonts w:ascii="Times New Roman" w:hAnsi="Times New Roman" w:eastAsia="方正仿宋_GBK" w:cs="Times New Roman"/>
          <w:sz w:val="32"/>
          <w:szCs w:val="22"/>
        </w:rPr>
        <w:t>100家规模以上工业企业）目标，发展质量和效</w:t>
      </w:r>
      <w:r>
        <w:rPr>
          <w:rFonts w:hint="eastAsia" w:ascii="Times New Roman" w:hAnsi="Times New Roman" w:eastAsia="方正仿宋_GBK" w:cs="Times New Roman"/>
          <w:sz w:val="32"/>
          <w:szCs w:val="22"/>
        </w:rPr>
        <w:t>益实现显著提升，成为河源经济发展重要增长极</w:t>
      </w:r>
      <w:r>
        <w:rPr>
          <w:rFonts w:ascii="Times New Roman" w:hAnsi="Times New Roman" w:eastAsia="方正仿宋_GBK" w:cs="Times New Roman"/>
          <w:sz w:val="32"/>
          <w:szCs w:val="22"/>
        </w:rPr>
        <w:t>。</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改革开放迈出新步伐。</w:t>
      </w:r>
      <w:r>
        <w:rPr>
          <w:rFonts w:hint="eastAsia" w:ascii="Times New Roman" w:hAnsi="Times New Roman" w:eastAsia="方正仿宋_GBK" w:cs="Times New Roman"/>
          <w:sz w:val="32"/>
          <w:szCs w:val="22"/>
        </w:rPr>
        <w:t>积极推动“三大改革”（“放管服”改革、要素市场化配置改革、国企改革）取得重大突破，营商环境持续改善，要素配置更加高效，国有资产和社会资产高度融合，</w:t>
      </w:r>
      <w:r>
        <w:rPr>
          <w:rFonts w:ascii="Times New Roman" w:hAnsi="Times New Roman" w:eastAsia="方正仿宋_GBK" w:cs="Times New Roman"/>
          <w:sz w:val="32"/>
          <w:szCs w:val="22"/>
        </w:rPr>
        <w:t>2家国企主体信用评为AA级。</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社会文明程度得到新提高。</w:t>
      </w:r>
      <w:r>
        <w:rPr>
          <w:rFonts w:hint="eastAsia" w:ascii="Times New Roman" w:hAnsi="Times New Roman" w:eastAsia="方正仿宋_GBK" w:cs="Times New Roman"/>
          <w:sz w:val="32"/>
          <w:szCs w:val="22"/>
        </w:rPr>
        <w:t>实施“三大战略”（文化品牌、文化创新、文化传承），建成“四馆”（档案馆、文化馆、美术馆、城市展览馆），社会主义核心价值观深入人心，群众思想道德素质、科学文化素质和身心健康素质明显提高，公共文化服务体系和文化产业体系更加健全，人民精神文化生活质量显著提高，文化软实力进一步提升。</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生态文明建设实现新进步。</w:t>
      </w:r>
      <w:r>
        <w:rPr>
          <w:rFonts w:hint="eastAsia" w:ascii="Times New Roman" w:hAnsi="Times New Roman" w:eastAsia="方正仿宋_GBK" w:cs="Times New Roman"/>
          <w:sz w:val="32"/>
          <w:szCs w:val="22"/>
        </w:rPr>
        <w:t>进一步筑牢生态安全屏障，绘就江东美丽生态画卷。打造“五园”（梧桐山公园、凤凰岭公园、邬塘公园、江东文化公园、智慧公园），全面推进东江</w:t>
      </w:r>
      <w:r>
        <w:rPr>
          <w:rFonts w:ascii="Times New Roman" w:hAnsi="Times New Roman" w:eastAsia="方正仿宋_GBK" w:cs="Times New Roman"/>
          <w:sz w:val="32"/>
          <w:szCs w:val="22"/>
        </w:rPr>
        <w:t>52</w:t>
      </w:r>
      <w:r>
        <w:rPr>
          <w:rFonts w:hint="eastAsia" w:ascii="Times New Roman" w:hAnsi="Times New Roman" w:eastAsia="方正仿宋_GBK" w:cs="Times New Roman"/>
          <w:sz w:val="32"/>
          <w:szCs w:val="22"/>
        </w:rPr>
        <w:t>公里碧道建设，打造成集生态、安全、文化、景观和休闲功能为一体的复合型城市绿廊。完善农村污水处理设施及管网建设，完成城东水质净化厂、产业园区北片区污水处理厂二期工程、古竹（双坑）污水处理厂二期工程建设，建成新区自来水厂、建筑垃圾消纳厂、热力发电厂，推动生态环境持续改善。</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民生福祉达到新水平。</w:t>
      </w:r>
      <w:r>
        <w:rPr>
          <w:rFonts w:hint="eastAsia" w:ascii="Times New Roman" w:hAnsi="Times New Roman" w:eastAsia="方正仿宋_GBK" w:cs="Times New Roman"/>
          <w:sz w:val="32"/>
          <w:szCs w:val="22"/>
        </w:rPr>
        <w:t>每年办成十件民生实事，解决一批群众难题；实施“六大工程”（就业、社会保障、全民健康、平安江东、基础教育设施、文化惠民），推进“三院”（古竹人民医院提升工程、临江社区医院、城东社区医院）、“十校”（星河学校南校区、星河学校北校区、江东新区高级中学、凤凰山学校、古竹实验小学、城东学校迁建项目、江东新区职业学校、凤凰山幼儿园、和平幼儿园、临江中心幼儿园）建设，推动部分学校改扩建，推进学前教育、职业教育发展。巩固拓展脱贫攻坚成果，乡村振兴全面推进，人民群众获得感幸福感安全感持续提升。</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社会治理效能得到新提升。</w:t>
      </w:r>
      <w:r>
        <w:rPr>
          <w:rFonts w:hint="eastAsia" w:ascii="Times New Roman" w:hAnsi="Times New Roman" w:eastAsia="方正仿宋_GBK" w:cs="Times New Roman"/>
          <w:sz w:val="32"/>
          <w:szCs w:val="22"/>
        </w:rPr>
        <w:t>平安法治江东品牌进一步擦亮，行政效率和公信力显著提升，全面建成智慧城市综合指挥中心，党委领导、政府负责、社会协同、公众参与、法治保障的社会治理体制更加完善，社会治理社会化、法治化、智能化、专业化水平不断提高，基层社会治理现代化加快推进，防范化解重大风险体制机制不断健全，突发公共事件应急能力显著增强，自然灾害防御水平明显提升，发展安全保障更加有力。</w:t>
      </w:r>
    </w:p>
    <w:p>
      <w:pPr>
        <w:adjustRightInd w:val="0"/>
        <w:snapToGrid w:val="0"/>
        <w:spacing w:line="60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“十四五”具体指标体系如下：</w:t>
      </w:r>
    </w:p>
    <w:tbl>
      <w:tblPr>
        <w:tblStyle w:val="10"/>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3821"/>
        <w:gridCol w:w="992"/>
        <w:gridCol w:w="993"/>
        <w:gridCol w:w="1378"/>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Times New Roman" w:hAnsi="Times New Roman" w:eastAsia="方正仿宋_GBK" w:cs="方正仿宋_GBK"/>
                <w:b/>
                <w:bCs/>
                <w:sz w:val="20"/>
                <w:szCs w:val="20"/>
                <w:lang w:val="zh-CN"/>
              </w:rPr>
            </w:pPr>
            <w:r>
              <w:rPr>
                <w:rFonts w:hint="eastAsia" w:ascii="Times New Roman" w:hAnsi="Times New Roman" w:eastAsia="方正仿宋_GBK" w:cs="方正仿宋_GBK"/>
                <w:b/>
                <w:bCs/>
                <w:sz w:val="20"/>
                <w:szCs w:val="20"/>
                <w:lang w:val="zh-CN"/>
              </w:rPr>
              <w:t>序号</w:t>
            </w:r>
          </w:p>
        </w:tc>
        <w:tc>
          <w:tcPr>
            <w:tcW w:w="382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Times New Roman" w:hAnsi="Times New Roman" w:eastAsia="方正仿宋_GBK" w:cs="方正仿宋_GBK"/>
                <w:b/>
                <w:bCs/>
                <w:sz w:val="20"/>
                <w:szCs w:val="20"/>
                <w:lang w:val="zh-CN"/>
              </w:rPr>
            </w:pPr>
            <w:r>
              <w:rPr>
                <w:rFonts w:hint="eastAsia" w:ascii="Times New Roman" w:hAnsi="Times New Roman" w:eastAsia="方正仿宋_GBK" w:cs="方正仿宋_GBK"/>
                <w:b/>
                <w:bCs/>
                <w:sz w:val="20"/>
                <w:szCs w:val="20"/>
                <w:lang w:val="zh-CN"/>
              </w:rPr>
              <w:t>具体指标</w:t>
            </w:r>
          </w:p>
        </w:tc>
        <w:tc>
          <w:tcPr>
            <w:tcW w:w="9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Times New Roman" w:hAnsi="Times New Roman" w:eastAsia="方正仿宋_GBK" w:cs="方正仿宋_GBK"/>
                <w:b/>
                <w:bCs/>
                <w:sz w:val="20"/>
                <w:szCs w:val="20"/>
                <w:lang w:val="zh-CN"/>
              </w:rPr>
            </w:pPr>
            <w:r>
              <w:rPr>
                <w:rFonts w:hint="eastAsia" w:ascii="Times New Roman" w:hAnsi="Times New Roman" w:eastAsia="方正仿宋_GBK" w:cs="方正仿宋_GBK"/>
                <w:b/>
                <w:bCs/>
                <w:sz w:val="20"/>
                <w:szCs w:val="20"/>
                <w:lang w:val="zh-CN"/>
              </w:rPr>
              <w:t>2020年</w:t>
            </w: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Times New Roman" w:hAnsi="Times New Roman" w:eastAsia="方正仿宋_GBK" w:cs="方正仿宋_GBK"/>
                <w:b/>
                <w:bCs/>
                <w:sz w:val="20"/>
                <w:szCs w:val="20"/>
                <w:lang w:val="zh-CN"/>
              </w:rPr>
            </w:pPr>
            <w:r>
              <w:rPr>
                <w:rFonts w:hint="eastAsia" w:ascii="Times New Roman" w:hAnsi="Times New Roman" w:eastAsia="方正仿宋_GBK" w:cs="方正仿宋_GBK"/>
                <w:b/>
                <w:bCs/>
                <w:sz w:val="20"/>
                <w:szCs w:val="20"/>
                <w:lang w:val="zh-CN"/>
              </w:rPr>
              <w:t>2025年</w:t>
            </w:r>
          </w:p>
        </w:tc>
        <w:tc>
          <w:tcPr>
            <w:tcW w:w="137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Times New Roman" w:hAnsi="Times New Roman" w:eastAsia="方正仿宋_GBK" w:cs="方正仿宋_GBK"/>
                <w:b/>
                <w:bCs/>
                <w:sz w:val="20"/>
                <w:szCs w:val="20"/>
                <w:lang w:val="zh-CN"/>
              </w:rPr>
            </w:pPr>
            <w:r>
              <w:rPr>
                <w:rFonts w:hint="eastAsia" w:ascii="Times New Roman" w:hAnsi="Times New Roman" w:eastAsia="方正仿宋_GBK" w:cs="方正仿宋_GBK"/>
                <w:b/>
                <w:bCs/>
                <w:sz w:val="20"/>
                <w:szCs w:val="20"/>
                <w:lang w:val="zh-CN"/>
              </w:rPr>
              <w:t>“十四五”年均增速[累计</w:t>
            </w:r>
            <w:r>
              <w:rPr>
                <w:rFonts w:ascii="Times New Roman" w:hAnsi="Times New Roman" w:eastAsia="方正仿宋_GBK" w:cs="方正仿宋_GBK"/>
                <w:b/>
                <w:bCs/>
                <w:sz w:val="20"/>
                <w:szCs w:val="20"/>
                <w:lang w:val="zh-CN"/>
              </w:rPr>
              <w:t>]</w:t>
            </w:r>
          </w:p>
        </w:tc>
        <w:tc>
          <w:tcPr>
            <w:tcW w:w="109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Times New Roman" w:hAnsi="Times New Roman" w:eastAsia="方正仿宋_GBK" w:cs="方正仿宋_GBK"/>
                <w:b/>
                <w:bCs/>
                <w:sz w:val="20"/>
                <w:szCs w:val="20"/>
                <w:lang w:val="zh-CN"/>
              </w:rPr>
            </w:pPr>
            <w:r>
              <w:rPr>
                <w:rFonts w:hint="eastAsia" w:ascii="Times New Roman" w:hAnsi="Times New Roman" w:eastAsia="方正仿宋_GBK" w:cs="方正仿宋_GBK"/>
                <w:b/>
                <w:bCs/>
                <w:sz w:val="20"/>
                <w:szCs w:val="20"/>
                <w:lang w:val="zh-CN"/>
              </w:rPr>
              <w:t>属 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834" w:type="dxa"/>
            <w:gridSpan w:val="6"/>
            <w:vAlign w:val="center"/>
          </w:tcPr>
          <w:p>
            <w:pPr>
              <w:adjustRightInd w:val="0"/>
              <w:snapToGrid w:val="0"/>
              <w:rPr>
                <w:rFonts w:ascii="Times New Roman" w:hAnsi="Times New Roman" w:eastAsia="方正仿宋_GBK" w:cs="方正仿宋_GBK"/>
                <w:b/>
                <w:bCs/>
                <w:sz w:val="20"/>
                <w:szCs w:val="20"/>
              </w:rPr>
            </w:pPr>
            <w:r>
              <w:rPr>
                <w:rFonts w:hint="eastAsia" w:ascii="Times New Roman" w:hAnsi="Times New Roman" w:eastAsia="方正仿宋_GBK" w:cs="方正仿宋_GBK"/>
                <w:b/>
                <w:bCs/>
                <w:sz w:val="20"/>
                <w:szCs w:val="20"/>
              </w:rPr>
              <w:t>一、经济发展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lang w:val="zh-CN"/>
              </w:rPr>
            </w:pPr>
            <w:r>
              <w:rPr>
                <w:rFonts w:hint="eastAsia" w:ascii="Times New Roman" w:hAnsi="Times New Roman" w:eastAsia="方正仿宋_GBK" w:cs="方正仿宋_GBK"/>
                <w:sz w:val="20"/>
                <w:szCs w:val="20"/>
              </w:rPr>
              <w:t>1</w:t>
            </w:r>
          </w:p>
        </w:tc>
        <w:tc>
          <w:tcPr>
            <w:tcW w:w="3821" w:type="dxa"/>
            <w:vAlign w:val="center"/>
          </w:tcPr>
          <w:p>
            <w:pPr>
              <w:adjustRightInd w:val="0"/>
              <w:snapToGrid w:val="0"/>
              <w:rPr>
                <w:rFonts w:ascii="Times New Roman" w:hAnsi="Times New Roman" w:eastAsia="方正仿宋_GBK" w:cs="方正仿宋_GBK"/>
                <w:sz w:val="20"/>
                <w:szCs w:val="20"/>
                <w:lang w:val="zh-CN"/>
              </w:rPr>
            </w:pPr>
            <w:r>
              <w:rPr>
                <w:rFonts w:hint="eastAsia" w:ascii="Times New Roman" w:hAnsi="Times New Roman" w:eastAsia="方正仿宋_GBK" w:cs="方正仿宋_GBK"/>
                <w:sz w:val="20"/>
                <w:szCs w:val="20"/>
              </w:rPr>
              <w:t>地区生产总值(亿元)</w:t>
            </w:r>
          </w:p>
        </w:tc>
        <w:tc>
          <w:tcPr>
            <w:tcW w:w="992" w:type="dxa"/>
            <w:vAlign w:val="center"/>
          </w:tcPr>
          <w:p>
            <w:pPr>
              <w:adjustRightInd w:val="0"/>
              <w:snapToGrid w:val="0"/>
              <w:jc w:val="center"/>
              <w:rPr>
                <w:rFonts w:hint="default" w:ascii="Times New Roman" w:hAnsi="Times New Roman" w:eastAsia="方正仿宋_GBK" w:cs="方正仿宋_GBK"/>
                <w:sz w:val="20"/>
                <w:szCs w:val="20"/>
                <w:lang w:val="en-US" w:eastAsia="zh-CN"/>
              </w:rPr>
            </w:pPr>
            <w:r>
              <w:rPr>
                <w:rFonts w:hint="eastAsia" w:ascii="Times New Roman" w:hAnsi="Times New Roman" w:eastAsia="方正仿宋_GBK" w:cs="方正仿宋_GBK"/>
                <w:sz w:val="20"/>
                <w:szCs w:val="20"/>
              </w:rPr>
              <w:t>59.</w:t>
            </w:r>
            <w:r>
              <w:rPr>
                <w:rFonts w:hint="eastAsia" w:ascii="Times New Roman" w:hAnsi="Times New Roman" w:eastAsia="方正仿宋_GBK" w:cs="方正仿宋_GBK"/>
                <w:sz w:val="20"/>
                <w:szCs w:val="20"/>
                <w:lang w:val="en-US" w:eastAsia="zh-CN"/>
              </w:rPr>
              <w:t>17</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ascii="Times New Roman" w:hAnsi="Times New Roman" w:eastAsia="方正仿宋_GBK" w:cs="方正仿宋_GBK"/>
                <w:sz w:val="20"/>
                <w:szCs w:val="20"/>
              </w:rPr>
              <w:t>-</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15%</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2</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全员劳动生产率增长（%）</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ascii="Times New Roman" w:hAnsi="Times New Roman" w:eastAsia="方正仿宋_GBK" w:cs="方正仿宋_GBK"/>
                <w:sz w:val="20"/>
                <w:szCs w:val="20"/>
              </w:rPr>
              <w:t>6.0</w:t>
            </w:r>
            <w:r>
              <w:rPr>
                <w:rFonts w:hint="eastAsia" w:ascii="Times New Roman" w:hAnsi="Times New Roman" w:eastAsia="方正仿宋_GBK" w:cs="方正仿宋_GBK"/>
                <w:sz w:val="20"/>
                <w:szCs w:val="20"/>
              </w:rPr>
              <w:t>左右</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3</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常住人口城镇化率（%）</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67.7</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7</w:t>
            </w:r>
            <w:r>
              <w:rPr>
                <w:rFonts w:ascii="Times New Roman" w:hAnsi="Times New Roman" w:eastAsia="方正仿宋_GBK" w:cs="方正仿宋_GBK"/>
                <w:sz w:val="20"/>
                <w:szCs w:val="20"/>
              </w:rPr>
              <w:t>2.7</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r>
              <w:rPr>
                <w:rFonts w:ascii="Times New Roman" w:hAnsi="Times New Roman" w:eastAsia="方正仿宋_GBK" w:cs="方正仿宋_GBK"/>
                <w:sz w:val="20"/>
                <w:szCs w:val="20"/>
              </w:rPr>
              <w:t>5.0]</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834" w:type="dxa"/>
            <w:gridSpan w:val="6"/>
            <w:vAlign w:val="center"/>
          </w:tcPr>
          <w:p>
            <w:pPr>
              <w:adjustRightInd w:val="0"/>
              <w:snapToGrid w:val="0"/>
              <w:rPr>
                <w:rFonts w:ascii="Times New Roman" w:hAnsi="Times New Roman" w:eastAsia="方正仿宋_GBK" w:cs="方正仿宋_GBK"/>
                <w:b/>
                <w:bCs/>
                <w:sz w:val="20"/>
                <w:szCs w:val="20"/>
              </w:rPr>
            </w:pPr>
            <w:r>
              <w:rPr>
                <w:rFonts w:hint="eastAsia" w:ascii="Times New Roman" w:hAnsi="Times New Roman" w:eastAsia="方正仿宋_GBK" w:cs="方正仿宋_GBK"/>
                <w:b/>
                <w:bCs/>
                <w:sz w:val="20"/>
                <w:szCs w:val="20"/>
              </w:rPr>
              <w:t>二、创新驱动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4</w:t>
            </w:r>
          </w:p>
        </w:tc>
        <w:tc>
          <w:tcPr>
            <w:tcW w:w="382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R&amp;D支出占GDP比重</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1</w:t>
            </w:r>
            <w:r>
              <w:rPr>
                <w:rFonts w:ascii="Times New Roman" w:hAnsi="Times New Roman" w:eastAsia="方正仿宋_GBK" w:cs="方正仿宋_GBK"/>
                <w:sz w:val="20"/>
                <w:szCs w:val="20"/>
              </w:rPr>
              <w:t>.6</w:t>
            </w:r>
            <w:r>
              <w:rPr>
                <w:rFonts w:hint="eastAsia" w:ascii="Times New Roman" w:hAnsi="Times New Roman" w:eastAsia="方正仿宋_GBK" w:cs="方正仿宋_GBK"/>
                <w:sz w:val="20"/>
                <w:szCs w:val="20"/>
              </w:rPr>
              <w:t>%</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ascii="Times New Roman" w:hAnsi="Times New Roman" w:eastAsia="方正仿宋_GBK" w:cs="方正仿宋_GBK"/>
                <w:sz w:val="20"/>
                <w:szCs w:val="20"/>
              </w:rPr>
              <w:t>2.5</w:t>
            </w:r>
            <w:r>
              <w:rPr>
                <w:rFonts w:hint="eastAsia" w:ascii="Times New Roman" w:hAnsi="Times New Roman" w:eastAsia="方正仿宋_GBK" w:cs="方正仿宋_GBK"/>
                <w:sz w:val="20"/>
                <w:szCs w:val="20"/>
              </w:rPr>
              <w:t>%</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r>
              <w:rPr>
                <w:rFonts w:ascii="Times New Roman" w:hAnsi="Times New Roman" w:eastAsia="方正仿宋_GBK" w:cs="方正仿宋_GBK"/>
                <w:sz w:val="20"/>
                <w:szCs w:val="20"/>
              </w:rPr>
              <w:t>0.9]</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5</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每万人口发明专利拥有量（件）</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3</w:t>
            </w:r>
            <w:r>
              <w:rPr>
                <w:rFonts w:ascii="Times New Roman" w:hAnsi="Times New Roman" w:eastAsia="方正仿宋_GBK" w:cs="方正仿宋_GBK"/>
                <w:sz w:val="20"/>
                <w:szCs w:val="20"/>
              </w:rPr>
              <w:t>.5</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ascii="Times New Roman" w:hAnsi="Times New Roman" w:eastAsia="方正仿宋_GBK" w:cs="方正仿宋_GBK"/>
                <w:sz w:val="20"/>
                <w:szCs w:val="20"/>
              </w:rPr>
              <w:t>5</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ascii="Times New Roman" w:hAnsi="Times New Roman" w:eastAsia="方正仿宋_GBK" w:cs="方正仿宋_GBK"/>
                <w:sz w:val="20"/>
                <w:szCs w:val="20"/>
              </w:rPr>
              <w:t>[1.5]</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6</w:t>
            </w:r>
          </w:p>
        </w:tc>
        <w:tc>
          <w:tcPr>
            <w:tcW w:w="3821" w:type="dxa"/>
            <w:vAlign w:val="center"/>
          </w:tcPr>
          <w:p>
            <w:pPr>
              <w:adjustRightInd w:val="0"/>
              <w:snapToGrid w:val="0"/>
              <w:rPr>
                <w:rFonts w:ascii="Times New Roman" w:hAnsi="Times New Roman" w:eastAsia="方正仿宋_GBK" w:cs="方正仿宋_GBK"/>
                <w:sz w:val="20"/>
                <w:szCs w:val="20"/>
                <w:lang w:val="zh-CN"/>
              </w:rPr>
            </w:pPr>
            <w:r>
              <w:rPr>
                <w:rFonts w:hint="eastAsia" w:ascii="Times New Roman" w:hAnsi="Times New Roman" w:eastAsia="方正仿宋_GBK" w:cs="方正仿宋_GBK"/>
                <w:sz w:val="20"/>
                <w:szCs w:val="20"/>
              </w:rPr>
              <w:t>数字经济核心产业增加值占G</w:t>
            </w:r>
            <w:r>
              <w:rPr>
                <w:rFonts w:ascii="Times New Roman" w:hAnsi="Times New Roman" w:eastAsia="方正仿宋_GBK" w:cs="方正仿宋_GBK"/>
                <w:sz w:val="20"/>
                <w:szCs w:val="20"/>
              </w:rPr>
              <w:t>DP</w:t>
            </w:r>
            <w:r>
              <w:rPr>
                <w:rFonts w:hint="eastAsia" w:ascii="Times New Roman" w:hAnsi="Times New Roman" w:eastAsia="方正仿宋_GBK" w:cs="方正仿宋_GBK"/>
                <w:sz w:val="20"/>
                <w:szCs w:val="20"/>
              </w:rPr>
              <w:t>比例（%）</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r>
              <w:rPr>
                <w:rFonts w:ascii="Times New Roman" w:hAnsi="Times New Roman" w:eastAsia="方正仿宋_GBK" w:cs="方正仿宋_GBK"/>
                <w:sz w:val="20"/>
                <w:szCs w:val="20"/>
              </w:rPr>
              <w:t>1.0]</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834" w:type="dxa"/>
            <w:gridSpan w:val="6"/>
            <w:vAlign w:val="center"/>
          </w:tcPr>
          <w:p>
            <w:pPr>
              <w:adjustRightInd w:val="0"/>
              <w:snapToGrid w:val="0"/>
              <w:rPr>
                <w:rFonts w:ascii="Times New Roman" w:hAnsi="Times New Roman" w:eastAsia="方正仿宋_GBK" w:cs="方正仿宋_GBK"/>
                <w:b/>
                <w:bCs/>
                <w:sz w:val="20"/>
                <w:szCs w:val="20"/>
              </w:rPr>
            </w:pPr>
            <w:r>
              <w:rPr>
                <w:rFonts w:hint="eastAsia" w:ascii="Times New Roman" w:hAnsi="Times New Roman" w:eastAsia="方正仿宋_GBK" w:cs="方正仿宋_GBK"/>
                <w:b/>
                <w:bCs/>
                <w:sz w:val="20"/>
                <w:szCs w:val="20"/>
              </w:rPr>
              <w:t>三、民生福祉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7</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居民人均可支配收入增长（%）</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7</w:t>
            </w:r>
            <w:r>
              <w:rPr>
                <w:rFonts w:ascii="Times New Roman" w:hAnsi="Times New Roman" w:eastAsia="方正仿宋_GBK" w:cs="方正仿宋_GBK"/>
                <w:sz w:val="20"/>
                <w:szCs w:val="20"/>
              </w:rPr>
              <w:t>.6</w:t>
            </w:r>
            <w:r>
              <w:rPr>
                <w:rFonts w:hint="eastAsia" w:ascii="Times New Roman" w:hAnsi="Times New Roman" w:eastAsia="方正仿宋_GBK" w:cs="方正仿宋_GBK"/>
                <w:sz w:val="20"/>
                <w:szCs w:val="20"/>
              </w:rPr>
              <w:t>%</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1378" w:type="dxa"/>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与经济增长同步</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8</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城镇登记失业率（%）</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2.5</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≤3</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9</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劳动年龄人口平均受教育年限（年）</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9</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9.5</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r>
              <w:rPr>
                <w:rFonts w:ascii="Times New Roman" w:hAnsi="Times New Roman" w:eastAsia="方正仿宋_GBK" w:cs="方正仿宋_GBK"/>
                <w:sz w:val="20"/>
                <w:szCs w:val="20"/>
              </w:rPr>
              <w:t>0.5]</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10</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每千人口执业（助理）医师数（人）</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1.02</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1.5</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ascii="Times New Roman" w:hAnsi="Times New Roman" w:eastAsia="方正仿宋_GBK" w:cs="方正仿宋_GBK"/>
                <w:sz w:val="20"/>
                <w:szCs w:val="20"/>
              </w:rPr>
              <w:t>[0.48]</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11</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基本养老保险参保率（%）</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12.5</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15</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r>
              <w:rPr>
                <w:rFonts w:ascii="Times New Roman" w:hAnsi="Times New Roman" w:eastAsia="方正仿宋_GBK" w:cs="方正仿宋_GBK"/>
                <w:sz w:val="20"/>
                <w:szCs w:val="20"/>
              </w:rPr>
              <w:t>2.5]</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12</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每千人口拥有3岁以下婴幼儿托育位数（位）</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ascii="Times New Roman" w:hAnsi="Times New Roman" w:eastAsia="方正仿宋_GBK" w:cs="方正仿宋_GBK"/>
                <w:sz w:val="20"/>
                <w:szCs w:val="20"/>
              </w:rPr>
              <w:t>5</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13</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人均预期寿命（岁）</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70</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75</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r>
              <w:rPr>
                <w:rFonts w:ascii="Times New Roman" w:hAnsi="Times New Roman" w:eastAsia="方正仿宋_GBK" w:cs="方正仿宋_GBK"/>
                <w:sz w:val="20"/>
                <w:szCs w:val="20"/>
              </w:rPr>
              <w:t>5]</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834" w:type="dxa"/>
            <w:gridSpan w:val="6"/>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b/>
                <w:bCs/>
                <w:sz w:val="20"/>
                <w:szCs w:val="20"/>
                <w:lang w:val="zh-CN"/>
              </w:rPr>
              <w:t>四、绿色发展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14</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单位GDP能耗降低（%）</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993" w:type="dxa"/>
            <w:vAlign w:val="center"/>
          </w:tcPr>
          <w:p>
            <w:pPr>
              <w:adjustRightInd w:val="0"/>
              <w:snapToGrid w:val="0"/>
              <w:spacing w:line="240" w:lineRule="exact"/>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按市下达任务</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1</w:t>
            </w:r>
            <w:r>
              <w:rPr>
                <w:rFonts w:ascii="Times New Roman" w:hAnsi="Times New Roman" w:eastAsia="方正仿宋_GBK" w:cs="方正仿宋_GBK"/>
                <w:sz w:val="20"/>
                <w:szCs w:val="20"/>
              </w:rPr>
              <w:t>5</w:t>
            </w:r>
          </w:p>
        </w:tc>
        <w:tc>
          <w:tcPr>
            <w:tcW w:w="3821" w:type="dxa"/>
            <w:vAlign w:val="center"/>
          </w:tcPr>
          <w:p>
            <w:pPr>
              <w:adjustRightInd w:val="0"/>
              <w:snapToGrid w:val="0"/>
              <w:rPr>
                <w:rFonts w:ascii="Times New Roman" w:hAnsi="Times New Roman" w:eastAsia="方正仿宋_GBK" w:cs="方正仿宋_GBK"/>
                <w:sz w:val="20"/>
                <w:szCs w:val="20"/>
              </w:rPr>
            </w:pPr>
            <w:bookmarkStart w:id="46" w:name="_Hlk63323713"/>
            <w:r>
              <w:rPr>
                <w:rFonts w:hint="eastAsia" w:ascii="Times New Roman" w:hAnsi="Times New Roman" w:eastAsia="方正仿宋_GBK" w:cs="方正仿宋_GBK"/>
                <w:sz w:val="20"/>
                <w:szCs w:val="20"/>
              </w:rPr>
              <w:t>单位GDP二氧化碳排放量降低</w:t>
            </w:r>
            <w:bookmarkEnd w:id="46"/>
            <w:r>
              <w:rPr>
                <w:rFonts w:hint="eastAsia" w:ascii="Times New Roman" w:hAnsi="Times New Roman" w:eastAsia="方正仿宋_GBK" w:cs="方正仿宋_GBK"/>
                <w:sz w:val="20"/>
                <w:szCs w:val="20"/>
              </w:rPr>
              <w:t>（%）</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ascii="Times New Roman" w:hAnsi="Times New Roman" w:eastAsia="方正仿宋_GBK" w:cs="方正仿宋_GBK"/>
                <w:sz w:val="20"/>
                <w:szCs w:val="20"/>
              </w:rPr>
              <w:t>-</w:t>
            </w:r>
          </w:p>
        </w:tc>
        <w:tc>
          <w:tcPr>
            <w:tcW w:w="993" w:type="dxa"/>
            <w:vAlign w:val="center"/>
          </w:tcPr>
          <w:p>
            <w:pPr>
              <w:adjustRightInd w:val="0"/>
              <w:snapToGrid w:val="0"/>
              <w:spacing w:line="240" w:lineRule="exact"/>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按市下达任务</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1</w:t>
            </w:r>
            <w:r>
              <w:rPr>
                <w:rFonts w:ascii="Times New Roman" w:hAnsi="Times New Roman" w:eastAsia="方正仿宋_GBK" w:cs="方正仿宋_GBK"/>
                <w:sz w:val="20"/>
                <w:szCs w:val="20"/>
              </w:rPr>
              <w:t>6</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空气质量优良天数比率（%）</w:t>
            </w:r>
          </w:p>
        </w:tc>
        <w:tc>
          <w:tcPr>
            <w:tcW w:w="992" w:type="dxa"/>
            <w:vAlign w:val="center"/>
          </w:tcPr>
          <w:p>
            <w:pPr>
              <w:adjustRightInd w:val="0"/>
              <w:snapToGrid w:val="0"/>
              <w:jc w:val="center"/>
              <w:rPr>
                <w:rFonts w:hint="eastAsia" w:ascii="Times New Roman" w:hAnsi="Times New Roman" w:eastAsia="方正仿宋_GBK" w:cs="方正仿宋_GBK"/>
                <w:sz w:val="20"/>
                <w:szCs w:val="20"/>
                <w:lang w:val="en-US" w:eastAsia="zh-CN"/>
              </w:rPr>
            </w:pPr>
            <w:r>
              <w:rPr>
                <w:rFonts w:hint="eastAsia" w:ascii="Times New Roman" w:hAnsi="Times New Roman" w:eastAsia="方正仿宋_GBK" w:cs="方正仿宋_GBK"/>
                <w:sz w:val="20"/>
                <w:szCs w:val="20"/>
              </w:rPr>
              <w:t>98.</w:t>
            </w:r>
            <w:r>
              <w:rPr>
                <w:rFonts w:hint="eastAsia" w:ascii="Times New Roman" w:hAnsi="Times New Roman" w:eastAsia="方正仿宋_GBK" w:cs="方正仿宋_GBK"/>
                <w:sz w:val="20"/>
                <w:szCs w:val="20"/>
                <w:lang w:val="en-US" w:eastAsia="zh-CN"/>
              </w:rPr>
              <w:t>9</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96</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1</w:t>
            </w:r>
            <w:r>
              <w:rPr>
                <w:rFonts w:ascii="Times New Roman" w:hAnsi="Times New Roman" w:eastAsia="方正仿宋_GBK" w:cs="方正仿宋_GBK"/>
                <w:sz w:val="20"/>
                <w:szCs w:val="20"/>
              </w:rPr>
              <w:t>7</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地表水达到或好于Ⅲ类水体比例（%）</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100</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100</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18</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森林覆盖率（%）</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62.16</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64.66</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834" w:type="dxa"/>
            <w:gridSpan w:val="6"/>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b/>
                <w:bCs/>
                <w:sz w:val="20"/>
                <w:szCs w:val="20"/>
                <w:lang w:val="zh-CN"/>
              </w:rPr>
              <w:t>五、安全保障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ascii="Times New Roman" w:hAnsi="Times New Roman" w:eastAsia="方正仿宋_GBK" w:cs="方正仿宋_GBK"/>
                <w:sz w:val="20"/>
                <w:szCs w:val="20"/>
              </w:rPr>
              <w:t>19</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粮食综合生产能力（万吨）</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2.75</w:t>
            </w:r>
          </w:p>
        </w:tc>
        <w:tc>
          <w:tcPr>
            <w:tcW w:w="993"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2.76以上</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55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2</w:t>
            </w:r>
            <w:r>
              <w:rPr>
                <w:rFonts w:ascii="Times New Roman" w:hAnsi="Times New Roman" w:eastAsia="方正仿宋_GBK" w:cs="方正仿宋_GBK"/>
                <w:sz w:val="20"/>
                <w:szCs w:val="20"/>
              </w:rPr>
              <w:t>0</w:t>
            </w:r>
          </w:p>
        </w:tc>
        <w:tc>
          <w:tcPr>
            <w:tcW w:w="3821"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能源综合生产能力（亿吨标准煤）</w:t>
            </w:r>
          </w:p>
        </w:tc>
        <w:tc>
          <w:tcPr>
            <w:tcW w:w="992"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993" w:type="dxa"/>
            <w:vAlign w:val="center"/>
          </w:tcPr>
          <w:p>
            <w:pPr>
              <w:adjustRightInd w:val="0"/>
              <w:snapToGrid w:val="0"/>
              <w:spacing w:line="240" w:lineRule="exact"/>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以市下达目标为准</w:t>
            </w:r>
          </w:p>
        </w:tc>
        <w:tc>
          <w:tcPr>
            <w:tcW w:w="1378" w:type="dxa"/>
            <w:vAlign w:val="center"/>
          </w:tcPr>
          <w:p>
            <w:pPr>
              <w:adjustRightInd w:val="0"/>
              <w:snapToGrid w:val="0"/>
              <w:jc w:val="center"/>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w:t>
            </w:r>
          </w:p>
        </w:tc>
        <w:tc>
          <w:tcPr>
            <w:tcW w:w="1099" w:type="dxa"/>
            <w:vAlign w:val="center"/>
          </w:tcPr>
          <w:p>
            <w:pPr>
              <w:adjustRightInd w:val="0"/>
              <w:snapToGrid w:val="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约束性</w:t>
            </w:r>
          </w:p>
        </w:tc>
      </w:tr>
    </w:tbl>
    <w:p>
      <w:pPr>
        <w:adjustRightInd w:val="0"/>
        <w:snapToGrid w:val="0"/>
        <w:spacing w:before="62" w:beforeLines="20" w:line="300" w:lineRule="exact"/>
        <w:ind w:firstLine="360" w:firstLineChars="200"/>
        <w:rPr>
          <w:rFonts w:ascii="Times New Roman" w:hAnsi="Times New Roman" w:eastAsia="方正仿宋_GBK" w:cs="方正仿宋_GBK"/>
          <w:sz w:val="20"/>
          <w:szCs w:val="20"/>
        </w:rPr>
      </w:pPr>
      <w:bookmarkStart w:id="47" w:name="_Toc59798189"/>
      <w:r>
        <w:rPr>
          <w:rFonts w:hint="eastAsia" w:ascii="Times New Roman" w:hAnsi="Times New Roman" w:eastAsia="仿宋_GB2312" w:cs="仿宋_GB2312"/>
          <w:sz w:val="18"/>
          <w:szCs w:val="18"/>
        </w:rPr>
        <w:t>注:</w:t>
      </w:r>
      <w:r>
        <w:rPr>
          <w:rFonts w:hint="eastAsia" w:ascii="Times New Roman" w:hAnsi="Times New Roman" w:eastAsia="方正仿宋_GBK" w:cs="方正仿宋_GBK"/>
          <w:sz w:val="20"/>
          <w:szCs w:val="20"/>
        </w:rPr>
        <w:t>1.[]内为累计数。</w:t>
      </w:r>
    </w:p>
    <w:p>
      <w:pPr>
        <w:adjustRightInd w:val="0"/>
        <w:snapToGrid w:val="0"/>
        <w:spacing w:line="300" w:lineRule="exact"/>
        <w:ind w:firstLine="600" w:firstLineChars="30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2.地区生产总值、全员劳动生产率、居民人均可支配收入增长速度为实际增速。</w:t>
      </w:r>
    </w:p>
    <w:p>
      <w:pPr>
        <w:adjustRightInd w:val="0"/>
        <w:snapToGrid w:val="0"/>
        <w:spacing w:line="300" w:lineRule="exact"/>
        <w:ind w:firstLine="600" w:firstLineChars="30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3.第七次</w:t>
      </w:r>
      <w:r>
        <w:rPr>
          <w:rFonts w:hint="eastAsia" w:ascii="Times New Roman" w:hAnsi="Times New Roman" w:eastAsia="方正仿宋_GBK" w:cs="方正仿宋_GBK"/>
          <w:sz w:val="20"/>
          <w:szCs w:val="20"/>
          <w:lang w:val="en-US" w:eastAsia="zh-CN"/>
        </w:rPr>
        <w:t>全国</w:t>
      </w:r>
      <w:r>
        <w:rPr>
          <w:rFonts w:hint="eastAsia" w:ascii="Times New Roman" w:hAnsi="Times New Roman" w:eastAsia="方正仿宋_GBK" w:cs="方正仿宋_GBK"/>
          <w:sz w:val="20"/>
          <w:szCs w:val="20"/>
        </w:rPr>
        <w:t>人口普查结果尚未公布，对应的全员劳动生产率、常住人口城镇化率、劳动年龄人口平均受教育年限为预计数。</w:t>
      </w:r>
    </w:p>
    <w:p>
      <w:pPr>
        <w:adjustRightInd w:val="0"/>
        <w:snapToGrid w:val="0"/>
        <w:spacing w:line="300" w:lineRule="exact"/>
        <w:ind w:firstLine="600" w:firstLineChars="300"/>
        <w:rPr>
          <w:rFonts w:ascii="Times New Roman" w:hAnsi="Times New Roman" w:eastAsia="方正仿宋_GBK" w:cs="方正仿宋_GBK"/>
          <w:sz w:val="20"/>
          <w:szCs w:val="20"/>
        </w:rPr>
      </w:pPr>
      <w:r>
        <w:rPr>
          <w:rFonts w:hint="eastAsia" w:ascii="Times New Roman" w:hAnsi="Times New Roman" w:eastAsia="方正仿宋_GBK" w:cs="方正仿宋_GBK"/>
          <w:sz w:val="20"/>
          <w:szCs w:val="20"/>
        </w:rPr>
        <w:t>4</w:t>
      </w:r>
      <w:r>
        <w:rPr>
          <w:rFonts w:ascii="Times New Roman" w:hAnsi="Times New Roman" w:eastAsia="方正仿宋_GBK" w:cs="方正仿宋_GBK"/>
          <w:sz w:val="20"/>
          <w:szCs w:val="20"/>
        </w:rPr>
        <w:t>.</w:t>
      </w:r>
      <w:r>
        <w:rPr>
          <w:rFonts w:hint="eastAsia" w:ascii="Times New Roman" w:hAnsi="Times New Roman" w:eastAsia="方正仿宋_GBK" w:cs="方正仿宋_GBK"/>
          <w:sz w:val="20"/>
          <w:szCs w:val="20"/>
        </w:rPr>
        <w:t>“-”表示暂无数据或不公开。</w:t>
      </w:r>
    </w:p>
    <w:p>
      <w:pPr>
        <w:keepNext/>
        <w:keepLines/>
        <w:adjustRightInd w:val="0"/>
        <w:snapToGrid w:val="0"/>
        <w:spacing w:before="156" w:beforeLines="50" w:after="156" w:afterLines="50" w:line="600" w:lineRule="exact"/>
        <w:jc w:val="center"/>
        <w:outlineLvl w:val="0"/>
        <w:rPr>
          <w:rFonts w:ascii="Times New Roman" w:hAnsi="Times New Roman" w:eastAsia="方正黑体_GBK" w:cs="Times New Roman"/>
          <w:bCs/>
          <w:kern w:val="44"/>
          <w:sz w:val="32"/>
          <w:szCs w:val="32"/>
          <w:lang w:val="zh-CN"/>
        </w:rPr>
      </w:pPr>
      <w:r>
        <w:rPr>
          <w:rFonts w:ascii="Times New Roman" w:hAnsi="Times New Roman" w:eastAsia="方正黑体_GBK" w:cs="Times New Roman"/>
          <w:bCs/>
          <w:kern w:val="44"/>
          <w:sz w:val="32"/>
          <w:szCs w:val="32"/>
          <w:lang w:val="zh-CN"/>
        </w:rPr>
        <w:br w:type="page"/>
      </w:r>
      <w:bookmarkStart w:id="48" w:name="_Toc61279511"/>
      <w:bookmarkStart w:id="49" w:name="_Toc67502321"/>
      <w:r>
        <w:rPr>
          <w:rFonts w:hint="eastAsia" w:ascii="Times New Roman" w:hAnsi="Times New Roman" w:eastAsia="方正黑体_GBK" w:cs="Times New Roman"/>
          <w:bCs/>
          <w:kern w:val="44"/>
          <w:sz w:val="32"/>
          <w:szCs w:val="32"/>
          <w:lang w:val="zh-CN"/>
        </w:rPr>
        <w:t>第三章 大力发展都市经济，打造城市功能平台</w:t>
      </w:r>
      <w:bookmarkEnd w:id="47"/>
      <w:bookmarkEnd w:id="48"/>
      <w:bookmarkEnd w:id="49"/>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坚持优化完善城市功能，做大做强都市经济主体，加快完善江东滨江新城、高铁新城、深河科技园、古竹新城（河源副中心）规划体系，形成城市建设典范，撬动</w:t>
      </w:r>
      <w:r>
        <w:rPr>
          <w:rFonts w:ascii="Times New Roman" w:hAnsi="Times New Roman" w:eastAsia="方正仿宋_GBK" w:cs="Times New Roman"/>
          <w:sz w:val="32"/>
          <w:szCs w:val="22"/>
        </w:rPr>
        <w:t>3000多平方公里的现代河源提升城市发展能级，引领河源都市经济高质量发展，建设成为粤港澳大湾区世界级城市群有机组成部分。</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50" w:name="_Toc59798190"/>
      <w:bookmarkStart w:id="51" w:name="_Toc61279512"/>
      <w:bookmarkStart w:id="52" w:name="_Toc67502322"/>
      <w:r>
        <w:rPr>
          <w:rFonts w:hint="eastAsia" w:ascii="Times New Roman" w:hAnsi="Times New Roman" w:eastAsia="方正楷体_GBK" w:cs="Times New Roman"/>
          <w:kern w:val="0"/>
          <w:sz w:val="32"/>
          <w:szCs w:val="32"/>
        </w:rPr>
        <w:t>第一节 高标准建设高铁新城</w:t>
      </w:r>
      <w:bookmarkEnd w:id="50"/>
      <w:bookmarkEnd w:id="51"/>
      <w:bookmarkEnd w:id="52"/>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大力推进综合枢纽建设。</w:t>
      </w:r>
      <w:r>
        <w:rPr>
          <w:rFonts w:hint="eastAsia" w:ascii="Times New Roman" w:hAnsi="Times New Roman" w:eastAsia="方正仿宋_GBK" w:cs="Times New Roman"/>
          <w:sz w:val="32"/>
          <w:szCs w:val="22"/>
        </w:rPr>
        <w:t>全力推进</w:t>
      </w:r>
      <w:bookmarkStart w:id="53" w:name="_Hlk62812982"/>
      <w:r>
        <w:rPr>
          <w:rFonts w:hint="eastAsia" w:ascii="Times New Roman" w:hAnsi="Times New Roman" w:eastAsia="方正仿宋_GBK" w:cs="Times New Roman"/>
          <w:sz w:val="32"/>
          <w:szCs w:val="22"/>
        </w:rPr>
        <w:t>河源东站站前综合交通枢纽工程</w:t>
      </w:r>
      <w:bookmarkEnd w:id="53"/>
      <w:r>
        <w:rPr>
          <w:rFonts w:hint="eastAsia" w:ascii="Times New Roman" w:hAnsi="Times New Roman" w:eastAsia="方正仿宋_GBK" w:cs="Times New Roman"/>
          <w:sz w:val="32"/>
          <w:szCs w:val="22"/>
        </w:rPr>
        <w:t>建设，加快高铁新城核心区</w:t>
      </w:r>
      <w:r>
        <w:rPr>
          <w:rFonts w:ascii="Times New Roman" w:hAnsi="Times New Roman" w:eastAsia="方正仿宋_GBK" w:cs="Times New Roman"/>
          <w:sz w:val="32"/>
          <w:szCs w:val="22"/>
        </w:rPr>
        <w:t>1平方公里的规划建</w:t>
      </w:r>
      <w:r>
        <w:rPr>
          <w:rFonts w:hint="eastAsia" w:ascii="Times New Roman" w:hAnsi="Times New Roman" w:eastAsia="方正仿宋_GBK" w:cs="Times New Roman"/>
          <w:sz w:val="32"/>
          <w:szCs w:val="22"/>
        </w:rPr>
        <w:t>设，以每年开发1.2-1.5平方公里的速度持续推进高铁新城建设，争取“十四五”建成6平方公里，重点围绕河源东站商务中心及迎客大道城市发展轴进行开发，推进站房周边交通组织、站前广场、城市候机楼等设施建设，建设“站城一体、业态融合”的“融深”“融湾”枢纽门户。加快打造新城</w:t>
      </w:r>
      <w:bookmarkStart w:id="54" w:name="_Hlk62147999"/>
      <w:r>
        <w:rPr>
          <w:rFonts w:ascii="Times New Roman" w:hAnsi="Times New Roman" w:eastAsia="方正仿宋_GBK" w:cs="Times New Roman"/>
          <w:sz w:val="32"/>
          <w:szCs w:val="22"/>
        </w:rPr>
        <w:t>CBD</w:t>
      </w:r>
      <w:bookmarkEnd w:id="54"/>
      <w:r>
        <w:rPr>
          <w:rFonts w:ascii="Times New Roman" w:hAnsi="Times New Roman" w:eastAsia="方正仿宋_GBK" w:cs="Times New Roman"/>
          <w:sz w:val="32"/>
          <w:szCs w:val="22"/>
        </w:rPr>
        <w:t>。深入实施都市经济带动战略，加快</w:t>
      </w:r>
      <w:r>
        <w:rPr>
          <w:rFonts w:hint="eastAsia" w:ascii="Times New Roman" w:hAnsi="Times New Roman" w:eastAsia="方正仿宋_GBK" w:cs="Times New Roman"/>
          <w:sz w:val="32"/>
          <w:szCs w:val="22"/>
        </w:rPr>
        <w:t>高铁新城村民安置点一期等</w:t>
      </w:r>
      <w:r>
        <w:rPr>
          <w:rFonts w:ascii="Times New Roman" w:hAnsi="Times New Roman" w:eastAsia="方正仿宋_GBK" w:cs="Times New Roman"/>
          <w:sz w:val="32"/>
          <w:szCs w:val="22"/>
        </w:rPr>
        <w:t>在建项目建设，做好土地储备、存量土地、征地拆迁工作。完善新城的商务服务、商贸流通、信息咨询、教育培训、多元居住等功能，补齐行政、教育、医疗等设施，加快推进高铁新城核心区综合体、华为智慧云小镇等的建设</w:t>
      </w:r>
      <w:r>
        <w:rPr>
          <w:rFonts w:hint="eastAsia" w:ascii="Times New Roman" w:hAnsi="Times New Roman" w:eastAsia="方正仿宋_GBK" w:cs="Times New Roman"/>
          <w:sz w:val="32"/>
          <w:szCs w:val="22"/>
        </w:rPr>
        <w:t>，打造高铁新城的“城市门户”形象</w:t>
      </w:r>
      <w:r>
        <w:rPr>
          <w:rFonts w:ascii="Times New Roman" w:hAnsi="Times New Roman" w:eastAsia="方正仿宋_GBK" w:cs="Times New Roman"/>
          <w:sz w:val="32"/>
          <w:szCs w:val="22"/>
        </w:rPr>
        <w:t>。深化</w:t>
      </w:r>
      <w:bookmarkStart w:id="55" w:name="_Hlk62148005"/>
      <w:r>
        <w:rPr>
          <w:rFonts w:ascii="Times New Roman" w:hAnsi="Times New Roman" w:eastAsia="方正仿宋_GBK" w:cs="Times New Roman"/>
          <w:sz w:val="32"/>
          <w:szCs w:val="22"/>
        </w:rPr>
        <w:t>TOD</w:t>
      </w:r>
      <w:bookmarkEnd w:id="55"/>
      <w:r>
        <w:rPr>
          <w:rFonts w:ascii="Times New Roman" w:hAnsi="Times New Roman" w:eastAsia="方正仿宋_GBK" w:cs="Times New Roman"/>
          <w:sz w:val="32"/>
          <w:szCs w:val="22"/>
        </w:rPr>
        <w:t>模式下的新城建设。加快推进</w:t>
      </w:r>
      <w:r>
        <w:rPr>
          <w:rFonts w:hint="eastAsia" w:ascii="Times New Roman" w:hAnsi="Times New Roman" w:eastAsia="方正仿宋_GBK" w:cs="Times New Roman"/>
          <w:sz w:val="32"/>
          <w:szCs w:val="22"/>
        </w:rPr>
        <w:t>河源东站站前综合交通枢纽工程</w:t>
      </w:r>
      <w:r>
        <w:rPr>
          <w:rFonts w:ascii="Times New Roman" w:hAnsi="Times New Roman" w:eastAsia="方正仿宋_GBK" w:cs="Times New Roman"/>
          <w:sz w:val="32"/>
          <w:szCs w:val="22"/>
        </w:rPr>
        <w:t>及市政道路工程建设，加快整合新城的城市发展模式、交通网络结构、土地利用、社区发展、项目融资等模式。全力做好高铁站场与公</w:t>
      </w:r>
      <w:r>
        <w:rPr>
          <w:rFonts w:hint="eastAsia" w:ascii="Times New Roman" w:hAnsi="Times New Roman" w:eastAsia="方正仿宋_GBK" w:cs="Times New Roman"/>
          <w:sz w:val="32"/>
          <w:szCs w:val="22"/>
        </w:rPr>
        <w:t>交、客运、出租等的换乘对接，努力实现人车分流、无缝接驳的换乘环境。结合市域国土空间规划的落实，加快编制江东新区空间规划，积极做好高铁新城周边地区开发的集约节约利用，通过完善交通基础设施建设实现土地的增值。</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加快培育发展</w:t>
      </w:r>
      <w:bookmarkStart w:id="56" w:name="_Hlk62148021"/>
      <w:r>
        <w:rPr>
          <w:rFonts w:hint="eastAsia" w:ascii="Times New Roman" w:hAnsi="Times New Roman" w:eastAsia="方正仿宋_GBK" w:cs="Times New Roman"/>
          <w:b/>
          <w:bCs/>
          <w:sz w:val="32"/>
          <w:szCs w:val="22"/>
        </w:rPr>
        <w:t>高铁经济</w:t>
      </w:r>
      <w:bookmarkEnd w:id="56"/>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加快高铁新城建设，引领河源都市经济高质量发展，将新区打造成为河源市融入粤港澳大湾区世界级城市群的核心组成部分和核心功能平台。加快集聚培育商务服务、商贸流通、金融衍生、信息服务等高端服务功能，构建完善的高铁经济产业生态圈。规划建设城市商业中心和商业网点配套设施，加快建设市级商业副中心和临江、古竹区级商业中心。推动时代大型综合体、中骏商业体等商贸综合体项目加快建设。发展绿色金融，推进金融更好地服务于实体经济的绿色转型。加快电子商务孵化基地及集聚发展园区规划建设，引导发展跨境电商，提升农村电商发展水平。推进电子商务与快递物流协调发展，大力发展</w:t>
      </w:r>
      <w:bookmarkStart w:id="57" w:name="_Hlk62148046"/>
      <w:r>
        <w:rPr>
          <w:rFonts w:hint="eastAsia" w:ascii="Times New Roman" w:hAnsi="Times New Roman" w:eastAsia="方正仿宋_GBK" w:cs="Times New Roman"/>
          <w:sz w:val="32"/>
          <w:szCs w:val="22"/>
        </w:rPr>
        <w:t>第三方物流和冷链物流</w:t>
      </w:r>
      <w:bookmarkEnd w:id="57"/>
      <w:r>
        <w:rPr>
          <w:rFonts w:hint="eastAsia" w:ascii="Times New Roman" w:hAnsi="Times New Roman" w:eastAsia="方正仿宋_GBK" w:cs="Times New Roman"/>
          <w:sz w:val="32"/>
          <w:szCs w:val="22"/>
        </w:rPr>
        <w:t>。大力发展以居家为基础、社区为依托、机构为支撑的养老服务体系。探索发展融合化在线教育、互联网医疗、便捷化线上办公等线上服务新模式，鼓励发展新个体经济，培育发展共享经济新业态。以深河人民医院为核心载体，发挥梧桐山、柏埔河、斩坑水库等山水生态绿库优势和临近高铁新城站场的交通优势，联动周边区域，加快康养产业发展。</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科学推进片区综合开发。</w:t>
      </w:r>
      <w:r>
        <w:rPr>
          <w:rFonts w:hint="eastAsia" w:ascii="Times New Roman" w:hAnsi="Times New Roman" w:eastAsia="方正仿宋_GBK" w:cs="Times New Roman"/>
          <w:sz w:val="32"/>
          <w:szCs w:val="22"/>
        </w:rPr>
        <w:t>积极对接央企大型国企以及珠三角地区有转移倾向的大型投资企业，引入央企、省属国企和知名民企等有实力企业参与高铁新城连片开发建设，实现滚动发展。坚持产城融合发展，重点推进天集产城综合体等项目建设，通过片区及周边一体化规划，完善高铁新城片区的产业和产业配套、居住和居住配套，统筹生产圈和生活圈建设，推进高铁新城周边用地一体化综合开发。充分发挥</w:t>
      </w:r>
      <w:r>
        <w:rPr>
          <w:rFonts w:ascii="Times New Roman" w:hAnsi="Times New Roman" w:eastAsia="方正仿宋_GBK" w:cs="Times New Roman"/>
          <w:sz w:val="32"/>
          <w:szCs w:val="22"/>
        </w:rPr>
        <w:t>TOD模式的交通联结、功能复合优势</w:t>
      </w:r>
      <w:r>
        <w:rPr>
          <w:rFonts w:hint="eastAsia" w:ascii="Times New Roman" w:hAnsi="Times New Roman" w:eastAsia="方正仿宋_GBK" w:cs="Times New Roman"/>
          <w:sz w:val="32"/>
          <w:szCs w:val="22"/>
        </w:rPr>
        <w:t>，推进城市空间集约开发。建立完善由大型投资企业主导片区开发的体制机制，坚持全周期的整体开发路径规划，加快完善各类高端商务功能配套，积极探索建设运营平衡新模式，促进高铁新城的整体效益和长远效益的最大化。</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58" w:name="_Toc59798191"/>
      <w:bookmarkStart w:id="59" w:name="_Toc67502323"/>
      <w:bookmarkStart w:id="60" w:name="_Toc61279513"/>
      <w:r>
        <w:rPr>
          <w:rFonts w:hint="eastAsia" w:ascii="Times New Roman" w:hAnsi="Times New Roman" w:eastAsia="方正楷体_GBK" w:cs="Times New Roman"/>
          <w:kern w:val="0"/>
          <w:sz w:val="32"/>
          <w:szCs w:val="32"/>
        </w:rPr>
        <w:t>第二节 高标准建设科技产业新城</w:t>
      </w:r>
      <w:bookmarkEnd w:id="58"/>
      <w:bookmarkEnd w:id="59"/>
      <w:bookmarkEnd w:id="60"/>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加快建设深河科技园。</w:t>
      </w:r>
      <w:r>
        <w:rPr>
          <w:rFonts w:hint="eastAsia" w:ascii="Times New Roman" w:hAnsi="Times New Roman" w:eastAsia="方正仿宋_GBK" w:cs="Times New Roman"/>
          <w:sz w:val="32"/>
          <w:szCs w:val="22"/>
        </w:rPr>
        <w:t>充分体现“园林城市、智慧城市、宜居宜业、产城一体、园城融合”的规划理念，将深河科技园建设成为机制创新、技术领先、特色鲜明的国内外知名的产业新城。以“整体建设期+试运行期”的模式，引导深河科技园采用“自收自支、自找平衡、自负盈亏”的方式，保障深河科技园建设过程中的政策、资金、用地等，加快推进智能微轨、环保机器人、建筑机器人、半导体产业园、智慧物流总部基地</w:t>
      </w:r>
      <w:r>
        <w:rPr>
          <w:rFonts w:ascii="Times New Roman" w:hAnsi="Times New Roman" w:eastAsia="方正仿宋_GBK" w:cs="Times New Roman"/>
          <w:sz w:val="32"/>
          <w:szCs w:val="22"/>
        </w:rPr>
        <w:t>+结算中心、科力尔微电机研发中心及生产基地、易华录数据湖、北清环能循环经济、安透可管网机器人、国际健康城、金融小镇、绿地康养</w:t>
      </w:r>
      <w:r>
        <w:rPr>
          <w:rFonts w:hint="eastAsia" w:ascii="Times New Roman" w:hAnsi="Times New Roman" w:eastAsia="方正仿宋_GBK" w:cs="Times New Roman"/>
          <w:sz w:val="32"/>
          <w:szCs w:val="22"/>
        </w:rPr>
        <w:t>等</w:t>
      </w:r>
      <w:r>
        <w:rPr>
          <w:rFonts w:ascii="Times New Roman" w:hAnsi="Times New Roman" w:eastAsia="方正仿宋_GBK" w:cs="Times New Roman"/>
          <w:sz w:val="32"/>
          <w:szCs w:val="22"/>
        </w:rPr>
        <w:t>项目</w:t>
      </w:r>
      <w:r>
        <w:rPr>
          <w:rFonts w:hint="eastAsia" w:ascii="Times New Roman" w:hAnsi="Times New Roman" w:eastAsia="方正仿宋_GBK" w:cs="Times New Roman"/>
          <w:sz w:val="32"/>
          <w:szCs w:val="22"/>
        </w:rPr>
        <w:t>建设，争取建成投资1000亿、年产值1000亿元的科技产业新城。深度对接大湾区大数据信息服务需求，加快阿里巴巴（广东河源）云计算数据中心建设，推动江东新区云数据中心运营，与中国移动通信集团广东有限公司河源分公司谋划共建</w:t>
      </w:r>
      <w:r>
        <w:rPr>
          <w:rFonts w:ascii="Times New Roman" w:hAnsi="Times New Roman" w:eastAsia="方正仿宋_GBK" w:cs="Times New Roman"/>
          <w:sz w:val="32"/>
          <w:szCs w:val="22"/>
        </w:rPr>
        <w:t>5G智慧园区</w:t>
      </w:r>
      <w:r>
        <w:rPr>
          <w:rFonts w:hint="eastAsia" w:ascii="Times New Roman" w:hAnsi="Times New Roman" w:eastAsia="方正仿宋_GBK" w:cs="Times New Roman"/>
          <w:sz w:val="32"/>
          <w:szCs w:val="22"/>
        </w:rPr>
        <w:t>，推动大湾区大数据网络枢纽中心落户河源，稳步推进省级大数据中心建设。积极参与大湾区现代化仓储物流发展，推动京东亚洲一号</w:t>
      </w:r>
      <w:r>
        <w:rPr>
          <w:rFonts w:ascii="Times New Roman" w:hAnsi="Times New Roman" w:eastAsia="方正仿宋_GBK" w:cs="Times New Roman"/>
          <w:sz w:val="32"/>
          <w:szCs w:val="22"/>
        </w:rPr>
        <w:t>5G人工智能仓</w:t>
      </w:r>
      <w:r>
        <w:rPr>
          <w:rFonts w:hint="eastAsia" w:ascii="Times New Roman" w:hAnsi="Times New Roman" w:eastAsia="方正仿宋_GBK" w:cs="Times New Roman"/>
          <w:sz w:val="32"/>
          <w:szCs w:val="22"/>
        </w:rPr>
        <w:t>及数字科技结算中心建设。</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加快科技创新载体建设。</w:t>
      </w:r>
      <w:r>
        <w:rPr>
          <w:rFonts w:hint="eastAsia" w:ascii="Times New Roman" w:hAnsi="Times New Roman" w:eastAsia="方正仿宋_GBK" w:cs="Times New Roman"/>
          <w:sz w:val="32"/>
          <w:szCs w:val="22"/>
        </w:rPr>
        <w:t>充分利用广东省部（院）产学研合作机制，制定新区省部（院）产学研合作规划，完善产学研保障体系。鼓励企业、高等院校和科研机构承担国家、省、市工程实验室、工程技术中心、公共技术服务平台等建设任务。鼓励有条件的企业与高等院校、科研院所联合建立国家中草药研发平台、技术中心、中试基地，加快推动河源市岭南中草药研究院、深大研究院项目落地。加快江东科创中心项目建设。推进建设军民融合科技创新平台，鼓励和支持军工单位与新区联合建立研究开发机构和技术创新平台。争取建设国家级创新研发平台。加强科学研究实验设施和标准计量检测认证平台建设。打造科技创新公共服务平台。推进江东新区产业园创新孵化基地建设，继续完善猪八戒网河源“互联网</w:t>
      </w:r>
      <w:r>
        <w:rPr>
          <w:rFonts w:ascii="Times New Roman" w:hAnsi="Times New Roman" w:eastAsia="方正仿宋_GBK" w:cs="Times New Roman"/>
          <w:sz w:val="32"/>
          <w:szCs w:val="22"/>
        </w:rPr>
        <w:t>+”创新创业综合示范园</w:t>
      </w:r>
      <w:r>
        <w:rPr>
          <w:rFonts w:hint="eastAsia" w:ascii="Times New Roman" w:hAnsi="Times New Roman" w:eastAsia="方正仿宋_GBK" w:cs="Times New Roman"/>
          <w:sz w:val="32"/>
          <w:szCs w:val="22"/>
        </w:rPr>
        <w:t>，推动河源江东新区科技企业孵化器、江东企业孵化中心建设。</w:t>
      </w:r>
      <w:r>
        <w:rPr>
          <w:rFonts w:ascii="Times New Roman" w:hAnsi="Times New Roman" w:eastAsia="方正仿宋_GBK" w:cs="Times New Roman"/>
          <w:sz w:val="32"/>
          <w:szCs w:val="22"/>
        </w:rPr>
        <w:t>鼓励</w:t>
      </w:r>
      <w:r>
        <w:rPr>
          <w:rFonts w:hint="eastAsia" w:ascii="Times New Roman" w:hAnsi="Times New Roman" w:eastAsia="方正仿宋_GBK" w:cs="Times New Roman"/>
          <w:sz w:val="32"/>
          <w:szCs w:val="22"/>
        </w:rPr>
        <w:t>河源职业技术学院、河源技师学院</w:t>
      </w:r>
      <w:r>
        <w:rPr>
          <w:rFonts w:ascii="Times New Roman" w:hAnsi="Times New Roman" w:eastAsia="方正仿宋_GBK" w:cs="Times New Roman"/>
          <w:sz w:val="32"/>
          <w:szCs w:val="22"/>
        </w:rPr>
        <w:t>、</w:t>
      </w:r>
      <w:r>
        <w:rPr>
          <w:rFonts w:hint="eastAsia" w:ascii="Times New Roman" w:hAnsi="Times New Roman" w:eastAsia="方正仿宋_GBK" w:cs="Times New Roman"/>
          <w:sz w:val="32"/>
          <w:szCs w:val="22"/>
        </w:rPr>
        <w:t>各</w:t>
      </w:r>
      <w:r>
        <w:rPr>
          <w:rFonts w:ascii="Times New Roman" w:hAnsi="Times New Roman" w:eastAsia="方正仿宋_GBK" w:cs="Times New Roman"/>
          <w:sz w:val="32"/>
          <w:szCs w:val="22"/>
        </w:rPr>
        <w:t>中小学开设各类创客教育课程。积极申报</w:t>
      </w:r>
      <w:r>
        <w:rPr>
          <w:rFonts w:hint="eastAsia" w:ascii="Times New Roman" w:hAnsi="Times New Roman" w:eastAsia="方正仿宋_GBK" w:cs="Times New Roman"/>
          <w:sz w:val="32"/>
          <w:szCs w:val="22"/>
        </w:rPr>
        <w:t>省级孵化器</w:t>
      </w:r>
      <w:r>
        <w:rPr>
          <w:rFonts w:ascii="Times New Roman" w:hAnsi="Times New Roman" w:eastAsia="方正仿宋_GBK" w:cs="Times New Roman"/>
          <w:sz w:val="32"/>
          <w:szCs w:val="22"/>
        </w:rPr>
        <w:t>和国</w:t>
      </w:r>
      <w:r>
        <w:rPr>
          <w:rFonts w:hint="eastAsia" w:ascii="Times New Roman" w:hAnsi="Times New Roman" w:eastAsia="方正仿宋_GBK" w:cs="Times New Roman"/>
          <w:sz w:val="32"/>
          <w:szCs w:val="22"/>
        </w:rPr>
        <w:t>家级众创空间。加强与广东省产权交易集团合作，强化知识产权保护和运用，推进设立区域性技术转移服务中心，开展技术交易服务平台试点。推进企业孵化、知识产权服务、第三方检测认证等机构发展，支持高校、科研院所、规上企业和各类科技服务组织搭建科技创新服务平台。积极培育各类科技服务中介机构，健全覆盖全区的科技中介服务网络体系。</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培育壮大企业创新主体。</w:t>
      </w:r>
      <w:r>
        <w:rPr>
          <w:rFonts w:hint="eastAsia" w:ascii="Times New Roman" w:hAnsi="Times New Roman" w:eastAsia="方正仿宋_GBK" w:cs="Times New Roman"/>
          <w:sz w:val="32"/>
          <w:szCs w:val="22"/>
        </w:rPr>
        <w:t>建立企业为主体、市场为导向、产学研结合的技术创新体系，鼓励企业加大研发投入，加快科技自主研发平台建设，提升自主研发能力。完善激励政策，加强与国家、省重大科技项目对接，吸引国家、省重大科技项目和成果在江东新区开展延展性研究、产业化应用与转化落地。大力实施高新技术企业倍增计划，培育扶持一批科技型企业。加强与大湾区科技企业孵化器、众创空间等孵化载体合作，引进科技型中小微企业。落实高新技术企业“树标提质”行动计划，做大做强创新型企业。开展</w:t>
      </w:r>
      <w:bookmarkStart w:id="61" w:name="_Hlk62148102"/>
      <w:r>
        <w:rPr>
          <w:rFonts w:hint="eastAsia" w:ascii="Times New Roman" w:hAnsi="Times New Roman" w:eastAsia="方正仿宋_GBK" w:cs="Times New Roman"/>
          <w:sz w:val="32"/>
          <w:szCs w:val="22"/>
        </w:rPr>
        <w:t>瞪羚企业</w:t>
      </w:r>
      <w:bookmarkEnd w:id="61"/>
      <w:r>
        <w:rPr>
          <w:rFonts w:hint="eastAsia" w:ascii="Times New Roman" w:hAnsi="Times New Roman" w:eastAsia="方正仿宋_GBK" w:cs="Times New Roman"/>
          <w:sz w:val="32"/>
          <w:szCs w:val="22"/>
        </w:rPr>
        <w:t>“分类施策”和</w:t>
      </w:r>
      <w:bookmarkStart w:id="62" w:name="_Hlk62148107"/>
      <w:r>
        <w:rPr>
          <w:rFonts w:hint="eastAsia" w:ascii="Times New Roman" w:hAnsi="Times New Roman" w:eastAsia="方正仿宋_GBK" w:cs="Times New Roman"/>
          <w:sz w:val="32"/>
          <w:szCs w:val="22"/>
        </w:rPr>
        <w:t>独角兽企业</w:t>
      </w:r>
      <w:bookmarkEnd w:id="62"/>
      <w:r>
        <w:rPr>
          <w:rFonts w:hint="eastAsia" w:ascii="Times New Roman" w:hAnsi="Times New Roman" w:eastAsia="方正仿宋_GBK" w:cs="Times New Roman"/>
          <w:sz w:val="32"/>
          <w:szCs w:val="22"/>
        </w:rPr>
        <w:t>“一企一策”靶向服务，助推企业挂牌上市。推动相关企业申报高企认定，实施高新技术企业入库培育计划，建立培育后备库，建立重点高新技术企业联系制度。</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加快科技创新人才集聚。</w:t>
      </w:r>
      <w:r>
        <w:rPr>
          <w:rFonts w:hint="eastAsia" w:ascii="Times New Roman" w:hAnsi="Times New Roman" w:eastAsia="方正仿宋_GBK" w:cs="Times New Roman"/>
          <w:sz w:val="32"/>
          <w:szCs w:val="22"/>
        </w:rPr>
        <w:t>改善科技创新生态，严格落实省“科技创新十二条”，完善促进创新发展的政策体系。提升人才培育机制。开展“产学研用”模式联合培养人才试点，发挥人才培训基地作用，聘请专家教授到新区开办学术讲座。开展新区实用人才和新型技术人才培训，举办科技示范和成果展示等活动，鼓励、支持基层科技技术人员参加各种形式的业务培训、学历深造、继续教育等活动。依托河源职业技术学院、河源技师学院等职业院校，建设高技能人才培训基地、技能大师工作室、高技能人才工作站，构建“现代学徒制”和企业新型学徒制技术技能人才培养新模式。创新人才引进模式。根据新区经济社会发展需要，制定新区人才引进指导目录，实施新区人才引进计划，制定高层次人才认定标准，实行高层次人才补贴政策，着力引进一批科技创新团队、高端领军人才和劳动技能人才。完善人才政策保障。深化人才发展体制改革，加快人才公寓和专家楼建设，探索创新科技人才管理培养和服务模式，继续完善特色引才政策，打造高层次人才“</w:t>
      </w:r>
      <w:bookmarkStart w:id="63" w:name="_Hlk62148149"/>
      <w:r>
        <w:rPr>
          <w:rFonts w:hint="eastAsia" w:ascii="Times New Roman" w:hAnsi="Times New Roman" w:eastAsia="方正仿宋_GBK" w:cs="Times New Roman"/>
          <w:sz w:val="32"/>
          <w:szCs w:val="22"/>
        </w:rPr>
        <w:t>一站式</w:t>
      </w:r>
      <w:bookmarkEnd w:id="63"/>
      <w:r>
        <w:rPr>
          <w:rFonts w:hint="eastAsia" w:ascii="Times New Roman" w:hAnsi="Times New Roman" w:eastAsia="方正仿宋_GBK" w:cs="Times New Roman"/>
          <w:sz w:val="32"/>
          <w:szCs w:val="22"/>
        </w:rPr>
        <w:t>”服务专区和“绿色通道”，从评价认定、住房保障、医疗保健、配偶安置、子女入学、创新创业支持等全方面给予政策配套，营造积极开放有效的人才吸引环境。</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64" w:name="_Toc67502324"/>
      <w:bookmarkStart w:id="65" w:name="_Toc59798192"/>
      <w:bookmarkStart w:id="66" w:name="_Toc61279514"/>
      <w:r>
        <w:rPr>
          <w:rFonts w:hint="eastAsia" w:ascii="Times New Roman" w:hAnsi="Times New Roman" w:eastAsia="方正楷体_GBK" w:cs="Times New Roman"/>
          <w:kern w:val="0"/>
          <w:sz w:val="32"/>
          <w:szCs w:val="32"/>
        </w:rPr>
        <w:t>第三节 高标准建设滨江新城</w:t>
      </w:r>
      <w:bookmarkEnd w:id="64"/>
      <w:bookmarkEnd w:id="65"/>
      <w:bookmarkEnd w:id="66"/>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提升城市核心功能品质。</w:t>
      </w:r>
      <w:r>
        <w:rPr>
          <w:rFonts w:hint="eastAsia" w:ascii="Times New Roman" w:hAnsi="Times New Roman" w:eastAsia="方正仿宋_GBK" w:cs="Times New Roman"/>
          <w:sz w:val="32"/>
          <w:szCs w:val="22"/>
        </w:rPr>
        <w:t>继续推动“三点三带四组团”战略发展布局，加快城市核心功能配套，大力提升新区的综合承载力和吸引力。加快江东滨江新城建设，打造河源城市综合服务中心和展现新区颜值和气质的重要城市窗口。</w:t>
      </w:r>
      <w:r>
        <w:rPr>
          <w:rFonts w:ascii="Times New Roman" w:hAnsi="Times New Roman" w:eastAsia="方正仿宋_GBK" w:cs="Times New Roman"/>
          <w:sz w:val="32"/>
          <w:szCs w:val="22"/>
        </w:rPr>
        <w:t>主动对接市“</w:t>
      </w:r>
      <w:bookmarkStart w:id="67" w:name="_Hlk62148176"/>
      <w:r>
        <w:rPr>
          <w:rFonts w:ascii="Times New Roman" w:hAnsi="Times New Roman" w:eastAsia="方正仿宋_GBK" w:cs="Times New Roman"/>
          <w:sz w:val="32"/>
          <w:szCs w:val="22"/>
        </w:rPr>
        <w:t>三江六岸</w:t>
      </w:r>
      <w:bookmarkEnd w:id="67"/>
      <w:r>
        <w:rPr>
          <w:rFonts w:ascii="Times New Roman" w:hAnsi="Times New Roman" w:eastAsia="方正仿宋_GBK" w:cs="Times New Roman"/>
          <w:sz w:val="32"/>
          <w:szCs w:val="22"/>
        </w:rPr>
        <w:t>”生态城市功能廊道建设，推动</w:t>
      </w:r>
      <w:r>
        <w:rPr>
          <w:rFonts w:hint="eastAsia" w:ascii="Times New Roman" w:hAnsi="Times New Roman" w:eastAsia="方正仿宋_GBK" w:cs="Times New Roman"/>
          <w:sz w:val="32"/>
          <w:szCs w:val="22"/>
        </w:rPr>
        <w:t>河源</w:t>
      </w:r>
      <w:r>
        <w:rPr>
          <w:rFonts w:ascii="Times New Roman" w:hAnsi="Times New Roman" w:eastAsia="方正仿宋_GBK" w:cs="Times New Roman"/>
          <w:sz w:val="32"/>
          <w:szCs w:val="22"/>
        </w:rPr>
        <w:t>生态环保城市会客厅、智慧滨江公园项目实施及文博新城、科创城、城市综合体等项目加快建设，打</w:t>
      </w:r>
      <w:r>
        <w:rPr>
          <w:rFonts w:hint="eastAsia" w:ascii="Times New Roman" w:hAnsi="Times New Roman" w:eastAsia="方正仿宋_GBK" w:cs="Times New Roman"/>
          <w:sz w:val="32"/>
          <w:szCs w:val="22"/>
        </w:rPr>
        <w:t>造</w:t>
      </w:r>
      <w:bookmarkStart w:id="68" w:name="_Hlk62148192"/>
      <w:r>
        <w:rPr>
          <w:rFonts w:hint="eastAsia" w:ascii="Times New Roman" w:hAnsi="Times New Roman" w:eastAsia="方正仿宋_GBK" w:cs="Times New Roman"/>
          <w:sz w:val="32"/>
          <w:szCs w:val="22"/>
        </w:rPr>
        <w:t>总部经济</w:t>
      </w:r>
      <w:bookmarkEnd w:id="68"/>
      <w:r>
        <w:rPr>
          <w:rFonts w:hint="eastAsia" w:ascii="Times New Roman" w:hAnsi="Times New Roman" w:eastAsia="方正仿宋_GBK" w:cs="Times New Roman"/>
          <w:sz w:val="32"/>
          <w:szCs w:val="22"/>
        </w:rPr>
        <w:t>区、滨水商业区、产业服务区和文化体验区，发展滨江都市经济带。对标大湾区城市建设水平，全力推进</w:t>
      </w:r>
      <w:bookmarkStart w:id="69" w:name="_Hlk62148214"/>
      <w:r>
        <w:rPr>
          <w:rFonts w:hint="eastAsia" w:ascii="Times New Roman" w:hAnsi="Times New Roman" w:eastAsia="方正仿宋_GBK" w:cs="Times New Roman"/>
          <w:sz w:val="32"/>
          <w:szCs w:val="22"/>
        </w:rPr>
        <w:t>海绵城市、公园城市、智慧城市</w:t>
      </w:r>
      <w:bookmarkEnd w:id="69"/>
      <w:r>
        <w:rPr>
          <w:rFonts w:hint="eastAsia" w:ascii="Times New Roman" w:hAnsi="Times New Roman" w:eastAsia="方正仿宋_GBK" w:cs="Times New Roman"/>
          <w:sz w:val="32"/>
          <w:szCs w:val="22"/>
        </w:rPr>
        <w:t>等建设。推进紫金桥头、胜利桥北、大坑、田坑等片区开发和</w:t>
      </w:r>
      <w:bookmarkStart w:id="70" w:name="_Hlk62148168"/>
      <w:r>
        <w:rPr>
          <w:rFonts w:hint="eastAsia" w:ascii="Times New Roman" w:hAnsi="Times New Roman" w:eastAsia="方正仿宋_GBK" w:cs="Times New Roman"/>
          <w:sz w:val="32"/>
          <w:szCs w:val="22"/>
        </w:rPr>
        <w:t>城市更新</w:t>
      </w:r>
      <w:bookmarkEnd w:id="70"/>
      <w:r>
        <w:rPr>
          <w:rFonts w:hint="eastAsia" w:ascii="Times New Roman" w:hAnsi="Times New Roman" w:eastAsia="方正仿宋_GBK" w:cs="Times New Roman"/>
          <w:sz w:val="32"/>
          <w:szCs w:val="22"/>
        </w:rPr>
        <w:t>。加快河紫花园、胜利花园二期等6</w:t>
      </w:r>
      <w:r>
        <w:rPr>
          <w:rFonts w:ascii="Times New Roman" w:hAnsi="Times New Roman" w:eastAsia="方正仿宋_GBK" w:cs="Times New Roman"/>
          <w:sz w:val="32"/>
          <w:szCs w:val="22"/>
        </w:rPr>
        <w:t>个安置小区建设，推动城市消防站、大学城派出所等公共服务设施建设</w:t>
      </w:r>
      <w:r>
        <w:rPr>
          <w:rFonts w:hint="eastAsia" w:ascii="Times New Roman" w:hAnsi="Times New Roman" w:eastAsia="方正仿宋_GBK" w:cs="Times New Roman"/>
          <w:sz w:val="32"/>
          <w:szCs w:val="22"/>
        </w:rPr>
        <w:t>和桥东市场迁建</w:t>
      </w:r>
      <w:r>
        <w:rPr>
          <w:rFonts w:ascii="Times New Roman" w:hAnsi="Times New Roman" w:eastAsia="方正仿宋_GBK" w:cs="Times New Roman"/>
          <w:sz w:val="32"/>
          <w:szCs w:val="22"/>
        </w:rPr>
        <w:t>。</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加快新型城镇化建设。</w:t>
      </w:r>
      <w:r>
        <w:rPr>
          <w:rFonts w:hint="eastAsia" w:ascii="Times New Roman" w:hAnsi="Times New Roman" w:eastAsia="方正仿宋_GBK" w:cs="Times New Roman"/>
          <w:sz w:val="32"/>
          <w:szCs w:val="22"/>
        </w:rPr>
        <w:t>提升农业转移人口市民化质量。全面取消落户限制，简化户籍迁移手续，加强落户政策宣传，开通线上申请审核系统，大幅提高落户便利性。扩大城镇基本公共服务对常住人口的覆盖范围，切实提升城镇基本公共服务及办事便利，重点解决好农民工子女教育、医疗、住房、社保、就业等民生问题。完善“</w:t>
      </w:r>
      <w:bookmarkStart w:id="71" w:name="_Hlk62148228"/>
      <w:r>
        <w:rPr>
          <w:rFonts w:hint="eastAsia" w:ascii="Times New Roman" w:hAnsi="Times New Roman" w:eastAsia="方正仿宋_GBK" w:cs="Times New Roman"/>
          <w:sz w:val="32"/>
          <w:szCs w:val="22"/>
        </w:rPr>
        <w:t>人地钱挂钩</w:t>
      </w:r>
      <w:bookmarkEnd w:id="71"/>
      <w:r>
        <w:rPr>
          <w:rFonts w:hint="eastAsia" w:ascii="Times New Roman" w:hAnsi="Times New Roman" w:eastAsia="方正仿宋_GBK" w:cs="Times New Roman"/>
          <w:sz w:val="32"/>
          <w:szCs w:val="22"/>
        </w:rPr>
        <w:t>”配套政策。因地制宜建设特色小镇，打造以特色产业集聚发展为特征，融合产业、文化、旅游、生活等功能的重要发展平台。强化政策激励，加强用地和财政建设性资金保障，争取向省级政府申请通过下达新增建设用地计划指标、省级专项资金等方式择优支持。培育一批示范性的精品特色小镇。</w:t>
      </w:r>
    </w:p>
    <w:p>
      <w:pPr>
        <w:adjustRightInd w:val="0"/>
        <w:snapToGrid w:val="0"/>
        <w:spacing w:before="156" w:beforeLines="50" w:after="156" w:afterLines="50" w:line="560" w:lineRule="exact"/>
        <w:jc w:val="center"/>
        <w:outlineLvl w:val="1"/>
        <w:rPr>
          <w:rFonts w:ascii="Times New Roman" w:hAnsi="Times New Roman" w:eastAsia="方正楷体_GBK" w:cs="Times New Roman"/>
          <w:kern w:val="0"/>
          <w:sz w:val="32"/>
          <w:szCs w:val="32"/>
        </w:rPr>
      </w:pPr>
      <w:bookmarkStart w:id="72" w:name="_Toc67502325"/>
      <w:r>
        <w:rPr>
          <w:rFonts w:hint="eastAsia" w:ascii="Times New Roman" w:hAnsi="Times New Roman" w:eastAsia="方正楷体_GBK" w:cs="Times New Roman"/>
          <w:kern w:val="0"/>
          <w:sz w:val="32"/>
          <w:szCs w:val="32"/>
        </w:rPr>
        <w:t>第四节 高标准建设古竹新城</w:t>
      </w:r>
      <w:bookmarkEnd w:id="72"/>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加快发展古竹新城（河源副中心）</w:t>
      </w:r>
      <w:r>
        <w:rPr>
          <w:rFonts w:hint="eastAsia" w:ascii="Times New Roman" w:hAnsi="Times New Roman" w:eastAsia="方正仿宋_GBK" w:cs="Times New Roman"/>
          <w:sz w:val="32"/>
          <w:szCs w:val="22"/>
        </w:rPr>
        <w:t>。抓住东江航道扩能升级的契机，依托上游的综合保税区、古竹港区码头，规划建设仓储、物流中心或分拨中心，打通江海联运通道。依托河源通用机场，大力发展特色产业、现代物流业。综合考虑周边机场的航空服务覆盖现状，充分发挥河源区位优势，主动承接大湾区航空服务产业配套项目。依托越王山、古竹东江抗日战争革命遗址群等旅游资源，打造综合文旅项目。全面推进乡村振兴，加快农业农村现代化。</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推动产城融合发展。</w:t>
      </w:r>
      <w:r>
        <w:rPr>
          <w:rFonts w:hint="eastAsia" w:ascii="Times New Roman" w:hAnsi="Times New Roman" w:eastAsia="方正仿宋_GBK" w:cs="Times New Roman"/>
          <w:sz w:val="32"/>
          <w:szCs w:val="22"/>
        </w:rPr>
        <w:t>坚持职住平衡的发展理念，科学布局生产配套设施、生活配套设施和生态场景体系，全面提升城市品质和生态环境，推动工业化、城镇化互相依托、互相促进。深化河源东站和河源众创空间对新区开发的带动作用，坚持构建良好的政策、生态、生活环境，吸引更多高素质人才集聚，推动科技、产业、人才融合发展。加快完善产业园区的配套基础设施建设，加快发展生活性服务业，积极构建等距离的生产圈和生活圈。积极“筑巢引凤”，为新区的产业发展和园区建设引进各类人才，完善产业园区的教育、医疗等服务，帮助企业留住人才。</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tcPr>
          <w:p>
            <w:pPr>
              <w:adjustRightInd w:val="0"/>
              <w:snapToGrid w:val="0"/>
              <w:spacing w:line="560" w:lineRule="exact"/>
              <w:jc w:val="center"/>
              <w:rPr>
                <w:rFonts w:ascii="方正仿宋_GBK" w:hAnsi="Times New Roman" w:eastAsia="方正仿宋_GBK" w:cs="Times New Roman"/>
                <w:b/>
                <w:bCs/>
                <w:sz w:val="32"/>
                <w:szCs w:val="22"/>
              </w:rPr>
            </w:pPr>
            <w:r>
              <w:rPr>
                <w:rFonts w:hint="eastAsia" w:ascii="方正仿宋_GBK" w:hAnsi="Times New Roman" w:eastAsia="方正仿宋_GBK" w:cs="Times New Roman"/>
                <w:b/>
                <w:bCs/>
                <w:sz w:val="28"/>
                <w:szCs w:val="21"/>
              </w:rPr>
              <w:t>专栏</w:t>
            </w:r>
            <w:r>
              <w:rPr>
                <w:rFonts w:ascii="Times New Roman" w:hAnsi="Times New Roman" w:eastAsia="方正仿宋_GBK" w:cs="Times New Roman"/>
                <w:b/>
                <w:bCs/>
                <w:sz w:val="28"/>
                <w:szCs w:val="21"/>
              </w:rPr>
              <w:t>1</w:t>
            </w:r>
            <w:r>
              <w:rPr>
                <w:rFonts w:hint="eastAsia" w:ascii="方正仿宋_GBK" w:hAnsi="Times New Roman" w:eastAsia="方正仿宋_GBK" w:cs="Times New Roman"/>
                <w:b/>
                <w:bCs/>
                <w:sz w:val="28"/>
                <w:szCs w:val="21"/>
              </w:rPr>
              <w:t xml:space="preserve">  “四组团”建设重点工程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4" w:type="dxa"/>
          </w:tcPr>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城市起步区组团</w:t>
            </w:r>
            <w:r>
              <w:rPr>
                <w:rFonts w:ascii="Times New Roman" w:hAnsi="Times New Roman" w:eastAsia="方正仿宋_GBK" w:cs="Times New Roman"/>
                <w:b/>
                <w:bCs/>
                <w:sz w:val="24"/>
              </w:rPr>
              <w:t>：</w:t>
            </w:r>
            <w:r>
              <w:rPr>
                <w:rFonts w:hint="eastAsia" w:ascii="Times New Roman" w:hAnsi="Times New Roman" w:eastAsia="方正仿宋_GBK" w:cs="Times New Roman"/>
                <w:sz w:val="24"/>
              </w:rPr>
              <w:t>江东新区城东水质净化厂；移动综合数据应用总部项目；“万绿创鸿”电商创客谷建设项目；星河·丹堤（一期）项目；中骏商业中心；河源江东新区大坑片区场地平整及部分市政道路工程建设项目；河源江东新区紫金桥头片区综合开发（部分工程）项目；河源江东新区紫金桥北综合开发（部分工程）项目；江东新区东江东路（</w:t>
            </w:r>
            <w:r>
              <w:rPr>
                <w:rFonts w:ascii="Times New Roman" w:hAnsi="Times New Roman" w:eastAsia="方正仿宋_GBK" w:cs="Times New Roman"/>
                <w:sz w:val="24"/>
              </w:rPr>
              <w:t>D路至面粉厂）；江东新区东环路（河职院及高级中学）人行天桥建设项目；东环路东面5号地块场地平整工程；江东新区东江东岸碧道工程（胜利大桥至紫金桥段）；江东新区梧桐山公园改造项目；江东新区建设大道人行天桥项目；江东新区农贸市场</w:t>
            </w:r>
            <w:r>
              <w:rPr>
                <w:rFonts w:hint="eastAsia" w:ascii="Times New Roman" w:hAnsi="Times New Roman" w:eastAsia="方正仿宋_GBK" w:cs="Times New Roman"/>
                <w:sz w:val="24"/>
              </w:rPr>
              <w:t>；河源江东新区胜利村安置小区二期建设项目；江东新区城东学校迁建项目；华南师范大学附属河源江东星河学校；凤凰山学校；梧桐一路南侧新建一所小学；江东新区职业技术学校；江东新区特殊学校；凤凰台幼儿园；江东新区城东社区卫生服务中心；体育综合体（篮球为主题）；江东新区档案馆；江东新区应急救援队伍培训、训练场地；江东科创中心项目；江东企业孵化中心项目；江东新区公用综合大厦项目</w:t>
            </w:r>
            <w:r>
              <w:rPr>
                <w:rFonts w:ascii="Times New Roman" w:hAnsi="Times New Roman" w:eastAsia="方正仿宋_GBK" w:cs="Times New Roman"/>
                <w:sz w:val="24"/>
              </w:rPr>
              <w:t>。</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高铁新城组团</w:t>
            </w:r>
            <w:r>
              <w:rPr>
                <w:rFonts w:ascii="Times New Roman" w:hAnsi="Times New Roman" w:eastAsia="方正仿宋_GBK" w:cs="Times New Roman"/>
                <w:b/>
                <w:bCs/>
                <w:sz w:val="24"/>
              </w:rPr>
              <w:t>：</w:t>
            </w:r>
            <w:r>
              <w:rPr>
                <w:rFonts w:ascii="Times New Roman" w:hAnsi="Times New Roman" w:eastAsia="方正仿宋_GBK" w:cs="Times New Roman"/>
                <w:sz w:val="24"/>
              </w:rPr>
              <w:t>Y009河汕线升级改造工程；河源市高铁新城河源东站综合交通枢纽项目；江东新区高铁新城商住项目 ；中国马会大湾区马产业示范园项目；江东新区高铁新城二区综合开发（部分基础设施工程）项目；江东新区高铁新城一区综合开发（部分工程）；江东新区疾控中心；河源市公安局江东分局高铁新城派出所；河源市公安局江东分局水上派出所；高铁新城消防站。</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产业起步区组团</w:t>
            </w:r>
            <w:r>
              <w:rPr>
                <w:rFonts w:ascii="Times New Roman" w:hAnsi="Times New Roman" w:eastAsia="方正仿宋_GBK" w:cs="Times New Roman"/>
                <w:b/>
                <w:bCs/>
                <w:sz w:val="24"/>
              </w:rPr>
              <w:t>：</w:t>
            </w:r>
            <w:r>
              <w:rPr>
                <w:rFonts w:hint="eastAsia" w:ascii="Times New Roman" w:hAnsi="Times New Roman" w:eastAsia="方正仿宋_GBK" w:cs="Times New Roman"/>
                <w:sz w:val="24"/>
              </w:rPr>
              <w:t>江东新区产业园区北片区污水处理厂项目；河源市建筑渣土消纳场；江东新区东江东岸水生态环境保护综合整治项目；河源江东新区柏埔河碧道工程；义容河水环境综合整治项目；河源江东新区科技企业孵化器建设项目；河源市岭南中草药研究院；江东新区产业园区（二期）</w:t>
            </w:r>
            <w:r>
              <w:rPr>
                <w:rFonts w:ascii="Times New Roman" w:hAnsi="Times New Roman" w:eastAsia="方正仿宋_GBK" w:cs="Times New Roman"/>
                <w:sz w:val="24"/>
              </w:rPr>
              <w:t>2.3平方公里基础设施建设项目；河源江东新区产业园区（三期）0.73平方公里土地综合整治项目；河源江东新区产业园区滨江配套用地（首期）基础设施建设项目；江东新区金国威通讯设备科技项目；江东新区健达通电子科技工业园；河源硕贝德（科技）项目；广东埃纳生医学科技有限公司（二期</w:t>
            </w:r>
            <w:r>
              <w:rPr>
                <w:rFonts w:hint="eastAsia" w:ascii="Times New Roman" w:hAnsi="Times New Roman" w:eastAsia="方正仿宋_GBK" w:cs="Times New Roman"/>
                <w:sz w:val="24"/>
              </w:rPr>
              <w:t>）项目；江东新区松乐生物医药生产项目；前海汇桥科技（河源）有限公司项目；广东熙研生物科技有限公司项目；江东新区凯中精密新能源汽车部件智造产业基地（一期增资扩产项目）；河源永利通源精密部件有限公司项目；河源嘉信源科技实业有限公司项目；河源未来实业有限公司（二期）项目；河源市盛丰电子科技有限公司项目；河源市新隆达精密时计有限公司项目；河源固达年产</w:t>
            </w:r>
            <w:r>
              <w:rPr>
                <w:rFonts w:ascii="Times New Roman" w:hAnsi="Times New Roman" w:eastAsia="方正仿宋_GBK" w:cs="Times New Roman"/>
                <w:sz w:val="24"/>
              </w:rPr>
              <w:t>2000台三轴、五轴数控机床项目；江东新区坚宝电缆有限公司电缆生产项目；江东新区博通电气设备生产研发中心；河源珊玛建材科技有限公司项目；河源铂科高端合金软磁材料生产基地</w:t>
            </w:r>
            <w:r>
              <w:rPr>
                <w:rFonts w:hint="eastAsia" w:ascii="Times New Roman" w:hAnsi="Times New Roman" w:eastAsia="方正仿宋_GBK" w:cs="Times New Roman"/>
                <w:sz w:val="24"/>
              </w:rPr>
              <w:t>项目；河源市金霸王食品有限公司项目；江东新区产业园公共服务配套项目；江东新区临江镇中小学生研学实践基地；江东新区临江产业园公墓山项目；河源生态环保城市会客厅；河源江东新区产业园区</w:t>
            </w:r>
            <w:r>
              <w:rPr>
                <w:rFonts w:ascii="Times New Roman" w:hAnsi="Times New Roman" w:eastAsia="方正仿宋_GBK" w:cs="Times New Roman"/>
                <w:sz w:val="24"/>
              </w:rPr>
              <w:t>2.35平方公里棚户区改造；临江圩镇控制性规划及三旧改造；临江中学高中部建设（新建江东新区高级中学）；江东新区临江中心幼儿园迁建项目；江东新区应急救灾物资储备库；河源市公安局江东分局临江派出所；产业园消防站。</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特色产业组团</w:t>
            </w:r>
            <w:r>
              <w:rPr>
                <w:rFonts w:ascii="Times New Roman" w:hAnsi="Times New Roman" w:eastAsia="方正仿宋_GBK" w:cs="Times New Roman"/>
                <w:b/>
                <w:bCs/>
                <w:sz w:val="24"/>
              </w:rPr>
              <w:t>：</w:t>
            </w:r>
            <w:r>
              <w:rPr>
                <w:rFonts w:hint="eastAsia" w:ascii="Times New Roman" w:hAnsi="Times New Roman" w:eastAsia="方正仿宋_GBK" w:cs="Times New Roman"/>
                <w:sz w:val="24"/>
              </w:rPr>
              <w:t>省道</w:t>
            </w:r>
            <w:r>
              <w:rPr>
                <w:rFonts w:ascii="Times New Roman" w:hAnsi="Times New Roman" w:eastAsia="方正仿宋_GBK" w:cs="Times New Roman"/>
                <w:sz w:val="24"/>
              </w:rPr>
              <w:t>S340线古竹东江大桥改建工程；Y309线榴坑至古竹段升级改造工程；河源江东新区航空产业基地一期项目；河源港古竹码头；江东新区古竹镇中小河流黄坳水治理工程；河源江东新区古竹镇供水引水工程；江东新区古竹污水处理厂项目；柏埔河水环境综合整治项目；江东新区古竹镇中心（首期）城市基础设施建设项目；江东新区古竹镇南片区（首期）土地综合整治及部分基础设施建设项目；江东新区古竹镇东片区（首期）开发建设项目；江东新区古竹镇工业园扩园基础设施建设项目；河源·融创国际文旅城（南越文化体验中心）；江东新区临古大道（雁头至四维</w:t>
            </w:r>
            <w:r>
              <w:rPr>
                <w:rFonts w:hint="eastAsia" w:ascii="Times New Roman" w:hAnsi="Times New Roman" w:eastAsia="方正仿宋_GBK" w:cs="Times New Roman"/>
                <w:sz w:val="24"/>
              </w:rPr>
              <w:t>段）；江东新区古竹镇紫古大道及竹港大道道路提质升级项目；古竹自来水厂及管网改造；江东新区古竹镇潮沙公墓山；古竹镇留洞村及雅色村乡道提质改造工程；江东新区古竹实验小学；江东新区古竹镇新智中学扩建项目；江东新区古竹镇古竹中学扩建项目；古竹大众岭幼儿园；古竹圩镇内新建一所幼儿园；江东新区古竹人民医院扩建项目；江东新区红色革命遗址群维护工程；古竹消防站</w:t>
            </w:r>
            <w:r>
              <w:rPr>
                <w:rFonts w:ascii="Times New Roman" w:hAnsi="Times New Roman" w:eastAsia="方正仿宋_GBK" w:cs="Times New Roman"/>
                <w:sz w:val="24"/>
              </w:rPr>
              <w:t>。</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跨区域项目</w:t>
            </w:r>
            <w:r>
              <w:rPr>
                <w:rFonts w:ascii="Times New Roman" w:hAnsi="Times New Roman" w:eastAsia="方正仿宋_GBK" w:cs="Times New Roman"/>
                <w:b/>
                <w:bCs/>
                <w:sz w:val="24"/>
              </w:rPr>
              <w:t>：</w:t>
            </w:r>
            <w:r>
              <w:rPr>
                <w:rFonts w:hint="eastAsia" w:ascii="Times New Roman" w:hAnsi="Times New Roman" w:eastAsia="方正仿宋_GBK" w:cs="Times New Roman"/>
                <w:sz w:val="24"/>
              </w:rPr>
              <w:t>河源江东新区东江干流防洪达标工程；河源江东新区小型病险水库除险加固及标准化建设项目；江东新区中小河流秋香江治理项目；江东新区中小河流柏埔河治理项目；江东新区中小河流义容河治理项目；河源江东新区碧道建设项目；河源江东新区创建节水型城市达标项目；河源江东新区农村水系连通建设项目；江东新区环境监测站项目；深河科技园；江东新区智慧城市二期项目；江东新区东环路升级改造工程；江东新区“十四五”期间学校基础设施“补短板”项目；江东新区临江卫生院改造项目；江东新区新时代文明实践中心（所、站）建设工程</w:t>
            </w:r>
            <w:r>
              <w:rPr>
                <w:rFonts w:ascii="Times New Roman" w:hAnsi="Times New Roman" w:eastAsia="方正仿宋_GBK" w:cs="Times New Roman"/>
                <w:sz w:val="24"/>
              </w:rPr>
              <w:t>。</w:t>
            </w:r>
          </w:p>
        </w:tc>
      </w:tr>
    </w:tbl>
    <w:p>
      <w:pPr>
        <w:keepNext/>
        <w:keepLines/>
        <w:adjustRightInd w:val="0"/>
        <w:snapToGrid w:val="0"/>
        <w:spacing w:before="156" w:beforeLines="50" w:after="156" w:afterLines="50" w:line="600" w:lineRule="exact"/>
        <w:jc w:val="center"/>
        <w:outlineLvl w:val="0"/>
        <w:rPr>
          <w:rFonts w:ascii="Times New Roman" w:hAnsi="Times New Roman" w:eastAsia="方正黑体_GBK" w:cs="Times New Roman"/>
          <w:bCs/>
          <w:kern w:val="44"/>
          <w:sz w:val="32"/>
          <w:szCs w:val="32"/>
          <w:lang w:val="zh-CN"/>
        </w:rPr>
      </w:pPr>
      <w:bookmarkStart w:id="73" w:name="_Toc59798193"/>
      <w:r>
        <w:rPr>
          <w:rFonts w:ascii="Times New Roman" w:hAnsi="Times New Roman" w:eastAsia="方正黑体_GBK" w:cs="Times New Roman"/>
          <w:bCs/>
          <w:kern w:val="44"/>
          <w:sz w:val="32"/>
          <w:szCs w:val="32"/>
          <w:lang w:val="zh-CN"/>
        </w:rPr>
        <w:br w:type="page"/>
      </w:r>
      <w:bookmarkStart w:id="74" w:name="_Toc67502326"/>
      <w:bookmarkStart w:id="75" w:name="_Toc61279515"/>
      <w:r>
        <w:rPr>
          <w:rFonts w:hint="eastAsia" w:ascii="Times New Roman" w:hAnsi="Times New Roman" w:eastAsia="方正黑体_GBK" w:cs="Times New Roman"/>
          <w:bCs/>
          <w:kern w:val="44"/>
          <w:sz w:val="32"/>
          <w:szCs w:val="32"/>
          <w:lang w:val="zh-CN"/>
        </w:rPr>
        <w:t>第四章 构建现代产业体系，打造发展支撑平台</w:t>
      </w:r>
      <w:bookmarkEnd w:id="73"/>
      <w:bookmarkEnd w:id="74"/>
      <w:bookmarkEnd w:id="75"/>
    </w:p>
    <w:p>
      <w:pPr>
        <w:adjustRightInd w:val="0"/>
        <w:snapToGrid w:val="0"/>
        <w:spacing w:line="60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积极承接“双区”产业延伸、企业转移，加快构建以战略性新兴产业、现代服务业为主体的现代产业体系，完善创新链产业链融合发展体制机制，注重用新技术新业态改造提升传统产业，促进新动能发展壮大、传统动能焕发生机，积极开拓多元化市场，全面提升新区开放型经济水平，形成全面开放新格局。</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76" w:name="_Toc59798195"/>
      <w:bookmarkStart w:id="77" w:name="_Toc61279516"/>
      <w:bookmarkStart w:id="78" w:name="_Toc67502327"/>
      <w:r>
        <w:rPr>
          <w:rFonts w:hint="eastAsia" w:ascii="Times New Roman" w:hAnsi="Times New Roman" w:eastAsia="方正楷体_GBK" w:cs="Times New Roman"/>
          <w:kern w:val="0"/>
          <w:sz w:val="32"/>
          <w:szCs w:val="32"/>
        </w:rPr>
        <w:t>第一节 培育发展战略性新兴产业</w:t>
      </w:r>
      <w:bookmarkEnd w:id="76"/>
      <w:bookmarkEnd w:id="77"/>
      <w:bookmarkEnd w:id="78"/>
    </w:p>
    <w:p>
      <w:pPr>
        <w:adjustRightInd w:val="0"/>
        <w:snapToGrid w:val="0"/>
        <w:spacing w:line="60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深入实施制造业高质量发展“六大工程”，积极利用大湾区战略性新兴产业外溢资源，加快推动重大项目建设，以城市起步区组团、高铁新城组团、产业起步区组团、特色产业组团为载体推动主导产业集聚发展，打造若干百亿级战略性新兴产业集群。</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发展前沿新材料产业。</w:t>
      </w:r>
      <w:r>
        <w:rPr>
          <w:rFonts w:hint="eastAsia" w:ascii="Times New Roman" w:hAnsi="Times New Roman" w:eastAsia="方正仿宋_GBK" w:cs="Times New Roman"/>
          <w:sz w:val="32"/>
          <w:szCs w:val="22"/>
        </w:rPr>
        <w:t>以江东新区产业园为主要载体，加快布局新材料产业前沿领域，重点引进电子信息新材料、高性能储能新材料等一批新材料项目，加快发展高分子材料、纳米材料、光学膜片、光学板材以及各类功能性光学材料，推动形成新材料产业集群。依托轩朗实业和爱捷高新材料等产业基础，加快发展以纳米环保塑胶材料为代表的低维和纳米材料、高性能复合材料。积极发展新型储能材料，重点引进高能量密度及长循环寿命电池正负极材料、耐高温低电阻隔膜和高导电率电解液等新能源电池关键材料项目。</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发展高端装备制造产业。</w:t>
      </w:r>
      <w:r>
        <w:rPr>
          <w:rFonts w:hint="eastAsia" w:ascii="Times New Roman" w:hAnsi="Times New Roman" w:eastAsia="方正仿宋_GBK" w:cs="Times New Roman"/>
          <w:sz w:val="32"/>
          <w:szCs w:val="22"/>
        </w:rPr>
        <w:t>推动互联网、大数据和实体经济深度融合，大力推进制造业转型升级和优化发展，重点发展智能装备制造产业。立足凯中精密、思比电子、鸿祺电子、硕贝德电子、铂科新材料等产业基础，在智能数控、精密模具、精密零部件、内外饰件、汽车电子、储能设备等重点领域引进培育一批重大产业项目，推动下游应用产业集聚，加快形成汽车零部件产业集群。深化与深圳汽车产业的合作，加快推进智能网联化软硬件等关键技术引进，推动智能制造关键技术研发和转化。加快河源未来实业有限公司（二期）项目建设。</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发展新一代电子信息产业。</w:t>
      </w:r>
      <w:r>
        <w:rPr>
          <w:rFonts w:hint="eastAsia" w:ascii="Times New Roman" w:hAnsi="Times New Roman" w:eastAsia="方正仿宋_GBK" w:cs="Times New Roman"/>
          <w:sz w:val="32"/>
          <w:szCs w:val="22"/>
        </w:rPr>
        <w:t>以河源打造千亿级电子信息产业集群为契机，积极承接大湾区新一代信息技术产业外溢资源，融入广东电子信息产业链，拓展新一代信息技术产业新领域，带动下游产业集聚。依托显赫电子、健达通等产业基础，以发展高端产品为导向，重点围绕新一代通信、智能硬件、新型显示等领域引进培育一批关键技术、重大项目，前瞻布局电子核心产业高端制造领域。以江东新区云数据中心、阿里巴巴（广东河源）云计算数据中心为基础，引进和落户一批数字经济产业项目，推进数据产业园、数据应用产业集聚区建设，加快易华录数据湖项目建设，提升产业数字化融合水平。</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发展先进材料产业。</w:t>
      </w:r>
      <w:r>
        <w:rPr>
          <w:rFonts w:hint="eastAsia" w:ascii="Times New Roman" w:hAnsi="Times New Roman" w:eastAsia="方正仿宋_GBK" w:cs="Times New Roman"/>
          <w:sz w:val="32"/>
          <w:szCs w:val="22"/>
        </w:rPr>
        <w:t>依托河源的稀土资源优势等产业基础，以古竹工业园为载体，重点发展稀土永磁材料、稀土发光材料、稀土储氢材料、稀土抛光材料、稀土催化材料等领域，加快磁性材料应用研究，推动稀土材料深度利用领域研究，优化工艺流程，降低制备成本，扩大新材料应用范围。加快打造国家稀土产业综合应用示范基地和国家离子型稀土资源战略储备基地。立足河源钨矿等丰富的矿产资源，推动形成河源钨合金等有色金属材料生产及深加工产业集群。</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发展生物医药与健康产业。</w:t>
      </w:r>
      <w:r>
        <w:rPr>
          <w:rFonts w:hint="eastAsia" w:ascii="Times New Roman" w:hAnsi="Times New Roman" w:eastAsia="方正仿宋_GBK" w:cs="Times New Roman"/>
          <w:sz w:val="32"/>
          <w:szCs w:val="22"/>
        </w:rPr>
        <w:t>加快发展现代中药产业，加强化学药品的开发。积极引进大湾区医药与医疗器械制造技术和项目，以熙研生物科技、松乐生物、埃纳生医疗器械为基础，培育发展医药和先进医疗设备及器械制造。积极发展大健康产业，把大健康产业打造成新的经济增长点。以保健食品、新型健康服务、养老保健为方向，面向广州、深圳等重点区域，加快大健康项目合作与引进，结合生态旅游发展，探索“医疗</w:t>
      </w:r>
      <w:r>
        <w:rPr>
          <w:rFonts w:ascii="Times New Roman" w:hAnsi="Times New Roman" w:eastAsia="方正仿宋_GBK" w:cs="Times New Roman"/>
          <w:sz w:val="32"/>
          <w:szCs w:val="22"/>
        </w:rPr>
        <w:t>+康养基地+龙头企业”的产业发展模式。</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加快发展半导体与集成电路产业。</w:t>
      </w:r>
      <w:r>
        <w:rPr>
          <w:rFonts w:hint="eastAsia" w:ascii="Times New Roman" w:hAnsi="Times New Roman" w:eastAsia="方正仿宋_GBK" w:cs="Times New Roman"/>
          <w:sz w:val="32"/>
          <w:szCs w:val="22"/>
        </w:rPr>
        <w:t>依托稀土材料的产业化应用，加快发展集成电路、高性能芯片等半导体上下游产业，推动形成晶圆制造、晶圆测试、芯片封装和封装后测试的完整产业链条。对接新区功能性光学材料、电子信息新材料、高性能储能新材料等前沿新材料产业和新一代电子信息产业发展及深圳第三代半导体芯片产业化需要，积极引进一批集成电路封装测试企业，发展先进封装测试</w:t>
      </w:r>
      <w:r>
        <w:rPr>
          <w:rFonts w:ascii="Times New Roman" w:hAnsi="Times New Roman" w:eastAsia="方正仿宋_GBK" w:cs="Times New Roman"/>
          <w:sz w:val="32"/>
          <w:szCs w:val="22"/>
        </w:rPr>
        <w:t>。</w:t>
      </w:r>
      <w:r>
        <w:rPr>
          <w:rFonts w:hint="eastAsia" w:ascii="Times New Roman" w:hAnsi="Times New Roman" w:eastAsia="方正仿宋_GBK" w:cs="Times New Roman"/>
          <w:sz w:val="32"/>
          <w:szCs w:val="22"/>
        </w:rPr>
        <w:t>加快半导体产业园项目建设。</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79" w:name="_Toc59798196"/>
      <w:bookmarkStart w:id="80" w:name="_Toc61279517"/>
      <w:bookmarkStart w:id="81" w:name="_Toc67502328"/>
      <w:r>
        <w:rPr>
          <w:rFonts w:hint="eastAsia" w:ascii="Times New Roman" w:hAnsi="Times New Roman" w:eastAsia="方正楷体_GBK" w:cs="Times New Roman"/>
          <w:kern w:val="0"/>
          <w:sz w:val="32"/>
          <w:szCs w:val="32"/>
        </w:rPr>
        <w:t>第二节 大力发展高端现代服务业</w:t>
      </w:r>
      <w:bookmarkEnd w:id="79"/>
      <w:bookmarkEnd w:id="80"/>
      <w:bookmarkEnd w:id="81"/>
    </w:p>
    <w:p>
      <w:pPr>
        <w:adjustRightInd w:val="0"/>
        <w:snapToGrid w:val="0"/>
        <w:spacing w:line="60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积极对接大湾区现代服务业体系，承接产业延伸和功能拓展，加快发展商务服务、供应链管理、科创服务、信息服务、文化创意等高端现代服务业，构建高铁新城现代服务业集聚区。加快推进“制造业</w:t>
      </w:r>
      <w:r>
        <w:rPr>
          <w:rFonts w:ascii="Times New Roman" w:hAnsi="Times New Roman" w:eastAsia="方正仿宋_GBK" w:cs="Times New Roman"/>
          <w:sz w:val="32"/>
          <w:szCs w:val="22"/>
        </w:rPr>
        <w:t>+服务业</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互联网+服务业</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融合发展，</w:t>
      </w:r>
      <w:r>
        <w:rPr>
          <w:rFonts w:hint="eastAsia" w:ascii="Times New Roman" w:hAnsi="Times New Roman" w:eastAsia="方正仿宋_GBK" w:cs="Times New Roman"/>
          <w:sz w:val="32"/>
          <w:szCs w:val="22"/>
        </w:rPr>
        <w:t>推动生产性服务业向专业化和价值链高端延伸，推动生活性服务业向高品质化、多样化转变，推动现代服务业多元融合发展。</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加快发展文旅产业。</w:t>
      </w:r>
      <w:r>
        <w:rPr>
          <w:rFonts w:hint="eastAsia" w:ascii="Times New Roman" w:hAnsi="Times New Roman" w:eastAsia="方正仿宋_GBK" w:cs="Times New Roman"/>
          <w:sz w:val="32"/>
          <w:szCs w:val="22"/>
        </w:rPr>
        <w:t>加快推进省级全域旅游示范区创建工作。推进南越王山生态度假旅游区旅游景区改造升级，争创</w:t>
      </w:r>
      <w:r>
        <w:rPr>
          <w:rFonts w:ascii="Times New Roman" w:hAnsi="Times New Roman" w:eastAsia="方正仿宋_GBK" w:cs="Times New Roman"/>
          <w:sz w:val="32"/>
          <w:szCs w:val="22"/>
        </w:rPr>
        <w:t>4A级旅游景区。加强红色文化旅游资源开发力度，依托红色革命遗址群，建设爱国主义教育基地，培育形成若干条完整的红色旅游线路。深入挖掘古竹乡土特色，大力培育发展休闲养生、健康养老、乡村度假等高端、高附加值的旅游业态。推进现代农业基地建设，将东江农夫葡萄园、万亩荔枝长廊打造成农业观光、农事体验、农业休闲为一体的农业旅游综合体，推进乡村旅游发展。加快融创国际文旅城、潮沙洲田园主题公园和越王山周边影视城项目建</w:t>
      </w:r>
      <w:r>
        <w:rPr>
          <w:rFonts w:hint="eastAsia" w:ascii="Times New Roman" w:hAnsi="Times New Roman" w:eastAsia="方正仿宋_GBK" w:cs="Times New Roman"/>
          <w:sz w:val="32"/>
          <w:szCs w:val="22"/>
        </w:rPr>
        <w:t>设。</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加快发展康养服务业。</w:t>
      </w:r>
      <w:r>
        <w:rPr>
          <w:rFonts w:hint="eastAsia" w:ascii="Times New Roman" w:hAnsi="Times New Roman" w:eastAsia="方正仿宋_GBK" w:cs="Times New Roman"/>
          <w:sz w:val="32"/>
          <w:szCs w:val="22"/>
        </w:rPr>
        <w:t>依托河源丰富的南药资源优势，完善新区医院等城市功能配套，加快发展健康检查、健康咨询、健康管理、疾病预防、营养保健、运动健身、康养旅游等康养服务业，构建“医、养、健、管、商、游”现代康养产业体系。加快农业、文旅产业与康养产业融合发展。以深河人民医院建设为推动，加快发展以健康管理、医疗服务等为代表的康养服务业。顺应人口老龄化趋势及</w:t>
      </w:r>
      <w:bookmarkStart w:id="82" w:name="_Hlk62148440"/>
      <w:r>
        <w:rPr>
          <w:rFonts w:hint="eastAsia" w:ascii="Times New Roman" w:hAnsi="Times New Roman" w:eastAsia="方正仿宋_GBK" w:cs="Times New Roman"/>
          <w:sz w:val="32"/>
          <w:szCs w:val="22"/>
        </w:rPr>
        <w:t>亚健康</w:t>
      </w:r>
      <w:bookmarkEnd w:id="82"/>
      <w:r>
        <w:rPr>
          <w:rFonts w:hint="eastAsia" w:ascii="Times New Roman" w:hAnsi="Times New Roman" w:eastAsia="方正仿宋_GBK" w:cs="Times New Roman"/>
          <w:sz w:val="32"/>
          <w:szCs w:val="22"/>
        </w:rPr>
        <w:t>新常态，加快整合家政、养老、医疗、健身等服务产业，打造全生命周期健康服务体系。加快国际健康城、绿地康养等项目建设。</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加快发展普惠金融。</w:t>
      </w:r>
      <w:r>
        <w:rPr>
          <w:rFonts w:hint="eastAsia" w:ascii="Times New Roman" w:hAnsi="Times New Roman" w:eastAsia="方正仿宋_GBK" w:cs="Times New Roman"/>
          <w:sz w:val="32"/>
          <w:szCs w:val="22"/>
        </w:rPr>
        <w:t>紧靠打造“河源未来城市发展核心”的目标，依托江东新区城市综合体等项目，鼓励金融科技创新，引导金融服务支持</w:t>
      </w:r>
      <w:bookmarkStart w:id="83" w:name="_Hlk62148450"/>
      <w:r>
        <w:rPr>
          <w:rFonts w:hint="eastAsia" w:ascii="Times New Roman" w:hAnsi="Times New Roman" w:eastAsia="方正仿宋_GBK" w:cs="Times New Roman"/>
          <w:sz w:val="32"/>
          <w:szCs w:val="22"/>
        </w:rPr>
        <w:t>实体经济</w:t>
      </w:r>
      <w:bookmarkEnd w:id="83"/>
      <w:r>
        <w:rPr>
          <w:rFonts w:hint="eastAsia" w:ascii="Times New Roman" w:hAnsi="Times New Roman" w:eastAsia="方正仿宋_GBK" w:cs="Times New Roman"/>
          <w:sz w:val="32"/>
          <w:szCs w:val="22"/>
        </w:rPr>
        <w:t>发展，加强金融市场监管，持续开展普惠金融教育，构建金融全业态，形成江东新区金融服务业集聚区。大力发展银行、保险、证券、期货等区域性金融机构总部，积极引进资产评估机构、第三方支付、保险代理等金融中介服务机构，鼓励发展农村合作金融。鼓励民间资本进入金融领域，引导河源工行江东支行等金融机构在风险可控的情况下加大普惠金融的发展，更好地为实体经济，为种植户、农户、小微企业服务。加快金融小镇项目建设。</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加快发展科技服务业。</w:t>
      </w:r>
      <w:r>
        <w:rPr>
          <w:rFonts w:hint="eastAsia" w:ascii="Times New Roman" w:hAnsi="Times New Roman" w:eastAsia="方正仿宋_GBK" w:cs="Times New Roman"/>
          <w:sz w:val="32"/>
          <w:szCs w:val="22"/>
        </w:rPr>
        <w:t>充分发挥行业协会等社会组织作用，推进科技中介服务机构建设，加快科技服务业和服务平台发展，加快形成覆盖科技创新全链条的科技服务体系。加快发展产业孵化器，创立“行业俱乐部”，强化高端科技服务专业性人才的培养。加快引进大湾区科研院校，深化产学研用，加快技术交易市场体系建设，开展新区产业技术交易服务平台试点，强化新区的研究开发和技术转移服务。加快发展第三方检验检测认证服务。以“河源众创空间”为依托，加快培育企业孵化器和众创空间，鼓励创业孵化机构开展与“双区”资源合作。依托新区的普惠金融产业优势，推动科技金融产品创新，鼓励创新型企业上市挂牌。</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jc w:val="center"/>
              <w:rPr>
                <w:rFonts w:ascii="方正仿宋_GBK" w:hAnsi="Times New Roman" w:eastAsia="方正仿宋_GBK" w:cs="Times New Roman"/>
                <w:b/>
                <w:bCs/>
                <w:sz w:val="32"/>
                <w:szCs w:val="22"/>
              </w:rPr>
            </w:pPr>
            <w:bookmarkStart w:id="84" w:name="_Toc59798197"/>
            <w:r>
              <w:rPr>
                <w:rFonts w:hint="eastAsia" w:ascii="方正仿宋_GBK" w:hAnsi="Times New Roman" w:eastAsia="方正仿宋_GBK" w:cs="Times New Roman"/>
                <w:b/>
                <w:bCs/>
                <w:sz w:val="28"/>
                <w:szCs w:val="21"/>
              </w:rPr>
              <w:t>专栏</w:t>
            </w:r>
            <w:r>
              <w:rPr>
                <w:rFonts w:ascii="Times New Roman" w:hAnsi="Times New Roman" w:eastAsia="方正仿宋_GBK" w:cs="Times New Roman"/>
                <w:b/>
                <w:bCs/>
                <w:sz w:val="28"/>
                <w:szCs w:val="21"/>
              </w:rPr>
              <w:t>2</w:t>
            </w:r>
            <w:r>
              <w:rPr>
                <w:rFonts w:hint="eastAsia" w:ascii="方正仿宋_GBK" w:hAnsi="Times New Roman" w:eastAsia="方正仿宋_GBK" w:cs="Times New Roman"/>
                <w:b/>
                <w:bCs/>
                <w:sz w:val="28"/>
                <w:szCs w:val="21"/>
              </w:rPr>
              <w:t xml:space="preserve">  现代产业发展重点项目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前沿新材料产业：</w:t>
            </w:r>
            <w:r>
              <w:rPr>
                <w:rFonts w:hint="eastAsia" w:ascii="Times New Roman" w:hAnsi="Times New Roman" w:eastAsia="方正仿宋_GBK" w:cs="Times New Roman"/>
                <w:sz w:val="24"/>
              </w:rPr>
              <w:t>江东新区坚宝电缆有限公司电缆生产项目；江东新区博通电气设备生产研发中心。</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高端装备制造产业：</w:t>
            </w:r>
            <w:r>
              <w:rPr>
                <w:rFonts w:hint="eastAsia" w:ascii="Times New Roman" w:hAnsi="Times New Roman" w:eastAsia="方正仿宋_GBK" w:cs="Times New Roman"/>
                <w:sz w:val="24"/>
              </w:rPr>
              <w:t>江东新区凯中精密新能源汽车部件智造产业基地（一期增资扩产项目）；河源永利通源精密部件有限公司项目；河源嘉信源科技实业有限公司项目；河源未来实业有限公司（二期）项目；河源市盛丰电子科技有限公司项目；河源市新隆达精密时计有限公司项目；河源固达年产</w:t>
            </w:r>
            <w:r>
              <w:rPr>
                <w:rFonts w:ascii="Times New Roman" w:hAnsi="Times New Roman" w:eastAsia="方正仿宋_GBK" w:cs="Times New Roman"/>
                <w:sz w:val="24"/>
              </w:rPr>
              <w:t>2000台三轴、五轴数控机床项目。</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新一代电子信息产业：</w:t>
            </w:r>
            <w:r>
              <w:rPr>
                <w:rFonts w:hint="eastAsia" w:ascii="Times New Roman" w:hAnsi="Times New Roman" w:eastAsia="方正仿宋_GBK" w:cs="Times New Roman"/>
                <w:sz w:val="24"/>
              </w:rPr>
              <w:t>江东新区金国威通讯设备科技项目；江东新区健达通电子科技工业园；河源硕贝德（科技）项目；江东新区坚宝电缆有限公司电缆生产项目</w:t>
            </w:r>
            <w:r>
              <w:rPr>
                <w:rFonts w:ascii="Times New Roman" w:hAnsi="Times New Roman" w:eastAsia="方正仿宋_GBK" w:cs="Times New Roman"/>
                <w:sz w:val="24"/>
              </w:rPr>
              <w:t>；</w:t>
            </w:r>
            <w:r>
              <w:rPr>
                <w:rFonts w:hint="eastAsia" w:ascii="Times New Roman" w:hAnsi="Times New Roman" w:eastAsia="方正仿宋_GBK" w:cs="Times New Roman"/>
                <w:sz w:val="24"/>
              </w:rPr>
              <w:t>易华录数据湖项目。</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先进材料产业：</w:t>
            </w:r>
            <w:r>
              <w:rPr>
                <w:rFonts w:hint="eastAsia" w:ascii="Times New Roman" w:hAnsi="Times New Roman" w:eastAsia="方正仿宋_GBK" w:cs="Times New Roman"/>
                <w:sz w:val="24"/>
              </w:rPr>
              <w:t>河源珊玛建材科技有限公司项目；河源铂科高端合金软磁材料生产基地项目</w:t>
            </w:r>
            <w:r>
              <w:rPr>
                <w:rFonts w:ascii="Times New Roman" w:hAnsi="Times New Roman" w:eastAsia="方正仿宋_GBK" w:cs="Times New Roman"/>
                <w:sz w:val="24"/>
              </w:rPr>
              <w:t>。</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生物医药与健康产业：</w:t>
            </w:r>
            <w:r>
              <w:rPr>
                <w:rFonts w:hint="eastAsia" w:ascii="Times New Roman" w:hAnsi="Times New Roman" w:eastAsia="方正仿宋_GBK" w:cs="Times New Roman"/>
                <w:sz w:val="24"/>
              </w:rPr>
              <w:t>广东埃纳生医学科技有限公司（二期）项目；江东新区松乐生物医药生产项目；前海汇桥科技（河源）有限公司项目；广东熙研生物科技有限公司项目。</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现代服务业：</w:t>
            </w:r>
            <w:r>
              <w:rPr>
                <w:rFonts w:hint="eastAsia" w:ascii="Times New Roman" w:hAnsi="Times New Roman" w:eastAsia="方正仿宋_GBK" w:cs="Times New Roman"/>
                <w:sz w:val="24"/>
              </w:rPr>
              <w:t>江东新区产业园公共服务配套项目（商贸物流）；移动综合数据应用总部项目（商贸物流）；“万绿创鸿”电商创客谷建设项目（商务服务）；星河·丹堤（一期）项目（商务服务）；中骏商业中心（商务服务）；江东新区高铁新城商住项目（商务服务）；河源·融创国际文旅城（南越文化体验中心）；中国马会大湾区马产业示范园项目；江东新区临江镇中小学生研学实践基地；智慧物流总部基地</w:t>
            </w:r>
            <w:r>
              <w:rPr>
                <w:rFonts w:ascii="Times New Roman" w:hAnsi="Times New Roman" w:eastAsia="方正仿宋_GBK" w:cs="Times New Roman"/>
                <w:sz w:val="24"/>
              </w:rPr>
              <w:t>+结算中心项目</w:t>
            </w:r>
            <w:r>
              <w:rPr>
                <w:rFonts w:hint="eastAsia" w:ascii="Times New Roman" w:hAnsi="Times New Roman" w:eastAsia="方正仿宋_GBK" w:cs="Times New Roman"/>
                <w:sz w:val="24"/>
              </w:rPr>
              <w:t>；国际健康城项目；金融小镇项目；绿地康养项目。</w:t>
            </w:r>
          </w:p>
        </w:tc>
      </w:tr>
    </w:tbl>
    <w:p>
      <w:pPr>
        <w:pStyle w:val="2"/>
        <w:ind w:left="0" w:leftChars="0" w:firstLine="0" w:firstLineChars="0"/>
      </w:pPr>
      <w:bookmarkStart w:id="85" w:name="_Toc67502329"/>
      <w:bookmarkStart w:id="86" w:name="_Toc61279518"/>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r>
        <w:rPr>
          <w:rFonts w:hint="eastAsia" w:ascii="Times New Roman" w:hAnsi="Times New Roman" w:eastAsia="方正楷体_GBK" w:cs="Times New Roman"/>
          <w:kern w:val="0"/>
          <w:sz w:val="32"/>
          <w:szCs w:val="32"/>
        </w:rPr>
        <w:t>第三节 统筹推进产业基础高级化和产业链现代化</w:t>
      </w:r>
      <w:bookmarkEnd w:id="84"/>
      <w:bookmarkEnd w:id="85"/>
      <w:bookmarkEnd w:id="86"/>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实施产业能级提升工程。</w:t>
      </w:r>
      <w:r>
        <w:rPr>
          <w:rFonts w:hint="eastAsia" w:ascii="Times New Roman" w:hAnsi="Times New Roman" w:eastAsia="方正仿宋_GBK" w:cs="Times New Roman"/>
          <w:sz w:val="32"/>
          <w:szCs w:val="22"/>
        </w:rPr>
        <w:t>加快构建与大湾区结构互补的现代产业体系，加强产业对接，加快建立“总部</w:t>
      </w:r>
      <w:r>
        <w:rPr>
          <w:rFonts w:ascii="Times New Roman" w:hAnsi="Times New Roman" w:eastAsia="方正仿宋_GBK" w:cs="Times New Roman"/>
          <w:sz w:val="32"/>
          <w:szCs w:val="22"/>
        </w:rPr>
        <w:t>+基地</w:t>
      </w:r>
      <w:r>
        <w:rPr>
          <w:rFonts w:hint="eastAsia" w:ascii="Times New Roman" w:hAnsi="Times New Roman" w:eastAsia="方正仿宋_GBK" w:cs="Times New Roman"/>
          <w:sz w:val="32"/>
          <w:szCs w:val="22"/>
        </w:rPr>
        <w:t>”“研发+生产”等产业链分工和协作体系。充分发挥企业在产业循环中的主体作用，鼓励新区企业自主创新，建立健全产学研协同创新、科技成果转化、科技创新与金融服务深层次结合等机制，加快企业孵化园和“</w:t>
      </w:r>
      <w:bookmarkStart w:id="87" w:name="_Hlk62148490"/>
      <w:r>
        <w:rPr>
          <w:rFonts w:hint="eastAsia" w:ascii="Times New Roman" w:hAnsi="Times New Roman" w:eastAsia="方正仿宋_GBK" w:cs="Times New Roman"/>
          <w:sz w:val="32"/>
          <w:szCs w:val="22"/>
        </w:rPr>
        <w:t>众创空间</w:t>
      </w:r>
      <w:bookmarkEnd w:id="87"/>
      <w:r>
        <w:rPr>
          <w:rFonts w:hint="eastAsia" w:ascii="Times New Roman" w:hAnsi="Times New Roman" w:eastAsia="方正仿宋_GBK" w:cs="Times New Roman"/>
          <w:sz w:val="32"/>
          <w:szCs w:val="22"/>
        </w:rPr>
        <w:t>”等产学研创新平台建设，激发全社会创新活力。建立产学研用一体化、上下游协同创新的全产业链合作机制，稳步推进产业链、创新链深度融合，推动技术向产业跨越。</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推进产业创新生态系统建设。</w:t>
      </w:r>
      <w:r>
        <w:rPr>
          <w:rFonts w:hint="eastAsia" w:ascii="Times New Roman" w:hAnsi="Times New Roman" w:eastAsia="方正仿宋_GBK" w:cs="Times New Roman"/>
          <w:sz w:val="32"/>
          <w:szCs w:val="22"/>
        </w:rPr>
        <w:t>推进与大湾区协同创新，推动更多大湾区科研机构、技术人才、科创成果、金融机构等向新区流动集聚、转移转化，促进大湾区高科技成果在新区转化和产业化。加强企业创新协调，搭建企业创新驱动孵化平台，以“平台</w:t>
      </w:r>
      <w:r>
        <w:rPr>
          <w:rFonts w:ascii="Times New Roman" w:hAnsi="Times New Roman" w:eastAsia="方正仿宋_GBK" w:cs="Times New Roman"/>
          <w:sz w:val="32"/>
          <w:szCs w:val="22"/>
        </w:rPr>
        <w:t>+</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产业链、创新链、资金链的模式，整合具有科技研发能力的企业，开展技术联合研发攻关</w:t>
      </w:r>
      <w:r>
        <w:rPr>
          <w:rFonts w:hint="eastAsia" w:ascii="Times New Roman" w:hAnsi="Times New Roman" w:eastAsia="方正仿宋_GBK" w:cs="Times New Roman"/>
          <w:sz w:val="32"/>
          <w:szCs w:val="22"/>
        </w:rPr>
        <w:t>。搭建科技资源开放共享平台、技术转移服务平台等重要企业推介载体，为创新主体提供从交流合作、研发设计到成果市场转化的全链条服务。</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推进质量链产业链深度融合。</w:t>
      </w:r>
      <w:r>
        <w:rPr>
          <w:rFonts w:hint="eastAsia" w:ascii="Times New Roman" w:hAnsi="Times New Roman" w:eastAsia="方正仿宋_GBK" w:cs="Times New Roman"/>
          <w:sz w:val="32"/>
          <w:szCs w:val="22"/>
        </w:rPr>
        <w:t>促进质量链与产业链精准对接，围绕产业链构建质量链，加强对产业链上企业质量、技术、设备和人员等方面的指导。支持行业协会采用先进质量管理技术与方法，全面提升产品质量，推动新产业、新业态快速发展和传统优势产业转型升级。加强产业发展质量基础设施建设，规划建设一批计量、标准、检测、认证专业机构。鼓励计量、标准、检测、认证和知识产权等专业机构与高端装备制造、医药健康、新材料产业等产业集群建立长期合作关系，促进中小企业质量提升。积极开展重点产品质量标准比对研究，建立重点企业质量信息档案库，实时跟踪更新质量信息数据，深挖产品质量安全问题根源，不断提升产品质量。</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88" w:name="_Toc61279519"/>
      <w:bookmarkStart w:id="89" w:name="_Toc67502330"/>
      <w:bookmarkStart w:id="90" w:name="_Toc59798194"/>
      <w:bookmarkStart w:id="91" w:name="_Toc59798198"/>
      <w:r>
        <w:rPr>
          <w:rFonts w:hint="eastAsia" w:ascii="Times New Roman" w:hAnsi="Times New Roman" w:eastAsia="方正楷体_GBK" w:cs="Times New Roman"/>
          <w:kern w:val="0"/>
          <w:sz w:val="32"/>
          <w:szCs w:val="32"/>
        </w:rPr>
        <w:t>第四节 着力构建现代招商体系</w:t>
      </w:r>
      <w:bookmarkEnd w:id="88"/>
      <w:bookmarkEnd w:id="89"/>
      <w:bookmarkEnd w:id="90"/>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创新招商引资方式。</w:t>
      </w:r>
      <w:r>
        <w:rPr>
          <w:rFonts w:hint="eastAsia" w:ascii="Times New Roman" w:hAnsi="Times New Roman" w:eastAsia="方正仿宋_GBK" w:cs="Times New Roman"/>
          <w:sz w:val="32"/>
          <w:szCs w:val="22"/>
        </w:rPr>
        <w:t>建立招商顾问、咨询评估、联审联动等机制，努力构筑全市最好的招商平台，打造招商引资“新高地”。</w:t>
      </w:r>
      <w:r>
        <w:rPr>
          <w:rFonts w:hint="eastAsia" w:ascii="Times New Roman" w:hAnsi="Times New Roman" w:eastAsia="方正仿宋_GBK" w:cs="仿宋_GB2312"/>
          <w:kern w:val="0"/>
          <w:sz w:val="32"/>
          <w:szCs w:val="22"/>
        </w:rPr>
        <w:t>坚持科学招商，破除唯大唯强等惯性思维，围绕当下发展所需、未来发展所能对重点产业、重点企业进行产业链细分，着力建链补链强链。</w:t>
      </w:r>
      <w:r>
        <w:rPr>
          <w:rFonts w:hint="eastAsia" w:ascii="Times New Roman" w:hAnsi="Times New Roman" w:eastAsia="方正仿宋_GBK" w:cs="Times New Roman"/>
          <w:sz w:val="32"/>
          <w:szCs w:val="22"/>
        </w:rPr>
        <w:t>重点围绕前沿新材料、高端装备制造、新一代电子信息、生物医药与健康、先进材料等产业，开展靶向招商、以商招商、平台招商，深化“大湾区总部</w:t>
      </w:r>
      <w:r>
        <w:rPr>
          <w:rFonts w:ascii="Times New Roman" w:hAnsi="Times New Roman" w:eastAsia="方正仿宋_GBK" w:cs="Times New Roman"/>
          <w:sz w:val="32"/>
          <w:szCs w:val="22"/>
        </w:rPr>
        <w:t>+新区基地</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大湾区研发+新区生产</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大湾区创新+新区示范</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等产业协同共建模式，紧密对接深圳都市圈的先进制造业、现代服务业、金融业等主导产业的上下游、</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左邻右里</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，着力引进一批大湾区产业梯度转移超亿元项目。</w:t>
      </w:r>
      <w:r>
        <w:rPr>
          <w:rFonts w:hint="eastAsia" w:ascii="Times New Roman" w:hAnsi="Times New Roman" w:eastAsia="方正仿宋_GBK" w:cs="Times New Roman"/>
          <w:sz w:val="32"/>
          <w:szCs w:val="22"/>
        </w:rPr>
        <w:t>瞄准上市公司，积极借助央企和省属国有企业平台力量，吸引更多“双区”优质企业到新区设立区域总部、研发副中心和生产基地，争取引进一批大湾区龙头企业特别是</w:t>
      </w:r>
      <w:bookmarkStart w:id="92" w:name="_Hlk62148545"/>
      <w:r>
        <w:rPr>
          <w:rFonts w:hint="eastAsia" w:ascii="Times New Roman" w:hAnsi="Times New Roman" w:eastAsia="方正仿宋_GBK" w:cs="Times New Roman"/>
          <w:sz w:val="32"/>
          <w:szCs w:val="22"/>
        </w:rPr>
        <w:t>“链主”企业</w:t>
      </w:r>
      <w:bookmarkEnd w:id="92"/>
      <w:r>
        <w:rPr>
          <w:rFonts w:hint="eastAsia" w:ascii="Times New Roman" w:hAnsi="Times New Roman" w:eastAsia="方正仿宋_GBK" w:cs="Times New Roman"/>
          <w:sz w:val="32"/>
          <w:szCs w:val="22"/>
        </w:rPr>
        <w:t>，引进培育一批“瞪羚”“独角兽”企业。</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完善招商服务平台。</w:t>
      </w:r>
      <w:r>
        <w:rPr>
          <w:rFonts w:hint="eastAsia" w:ascii="Times New Roman" w:hAnsi="Times New Roman" w:eastAsia="方正仿宋_GBK" w:cs="Times New Roman"/>
          <w:sz w:val="32"/>
          <w:szCs w:val="22"/>
        </w:rPr>
        <w:t>充分利用各行业多种形式的论坛、展览会（博览会）、研讨会，在项目招商、人才引进、社会宣传等方面搭建服务平台。建立招商项目库和招商大数据，深入了解潜在招商对象的现状与规划，强化专业团队沟通对接，提升招商队伍工作效能。借助大型央企、民企的影响力，充分发挥外出乡贤、驻外河源商会（同乡会）的作用，广泛捕捉招商信息，促进投资实力强、有核心技术、品牌影响大、辐射带动强的投资项目落户新区。</w:t>
      </w:r>
      <w:r>
        <w:rPr>
          <w:rFonts w:hint="eastAsia" w:ascii="Times New Roman" w:hAnsi="Times New Roman" w:eastAsia="方正仿宋_GBK" w:cs="方正仿宋_GBK"/>
          <w:sz w:val="32"/>
          <w:szCs w:val="32"/>
        </w:rPr>
        <w:t>采用“体制内+体制外”“专业化+市场化”“政府购买+社会化服务”等模式，打造高素质招商队伍，提升招商工作专业化水平。</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仿宋_GB2312"/>
          <w:b/>
          <w:bCs/>
          <w:kern w:val="0"/>
          <w:sz w:val="32"/>
          <w:szCs w:val="22"/>
        </w:rPr>
        <w:t>健全招商引资工作机制</w:t>
      </w:r>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建立健全由主要领导牵头、部门协作、社会参与的招商工作机制。</w:t>
      </w:r>
      <w:r>
        <w:rPr>
          <w:rFonts w:hint="eastAsia" w:ascii="Times New Roman" w:hAnsi="Times New Roman" w:eastAsia="方正仿宋_GBK" w:cs="仿宋_GB2312"/>
          <w:kern w:val="0"/>
          <w:sz w:val="32"/>
          <w:szCs w:val="22"/>
        </w:rPr>
        <w:t>抓好招商、整合、落地“三个环节”，实现招商引资闭环管理。推动招商全生命周期指引，重点构建项目信息联动机制、项目评审机制、项目谈判签约机制、项目落地建设机制、营商环境监督机制、招商引资督查考核机制。</w:t>
      </w:r>
      <w:r>
        <w:rPr>
          <w:rFonts w:hint="eastAsia" w:ascii="Times New Roman" w:hAnsi="Times New Roman" w:eastAsia="方正仿宋_GBK" w:cs="Times New Roman"/>
          <w:sz w:val="32"/>
          <w:szCs w:val="22"/>
        </w:rPr>
        <w:t>制定优先项目目录和相应的配套扶持政策，实时跟进更新并定期公布。对重点项目进行全面推介和对口招商，有针对性地开展对国内外知名企业的招商引资活动，重视技术、资金密集型重大项目的引进，力争引进国内外知名企业尤其是世界</w:t>
      </w:r>
      <w:r>
        <w:rPr>
          <w:rFonts w:ascii="Times New Roman" w:hAnsi="Times New Roman" w:eastAsia="方正仿宋_GBK" w:cs="Times New Roman"/>
          <w:sz w:val="32"/>
          <w:szCs w:val="22"/>
        </w:rPr>
        <w:t>500强企业。</w:t>
      </w:r>
    </w:p>
    <w:p>
      <w:pPr>
        <w:keepNext/>
        <w:keepLines/>
        <w:adjustRightInd w:val="0"/>
        <w:snapToGrid w:val="0"/>
        <w:spacing w:before="156" w:beforeLines="50" w:after="156" w:afterLines="50" w:line="600" w:lineRule="exact"/>
        <w:jc w:val="center"/>
        <w:outlineLvl w:val="0"/>
        <w:rPr>
          <w:rFonts w:ascii="Times New Roman" w:hAnsi="Times New Roman" w:eastAsia="方正黑体_GBK" w:cs="Times New Roman"/>
          <w:bCs/>
          <w:kern w:val="44"/>
          <w:sz w:val="32"/>
          <w:szCs w:val="32"/>
          <w:lang w:val="zh-CN"/>
        </w:rPr>
      </w:pPr>
      <w:r>
        <w:rPr>
          <w:rFonts w:ascii="Times New Roman" w:hAnsi="Times New Roman" w:eastAsia="方正黑体_GBK" w:cs="Times New Roman"/>
          <w:bCs/>
          <w:kern w:val="44"/>
          <w:sz w:val="32"/>
          <w:szCs w:val="32"/>
          <w:lang w:val="zh-CN"/>
        </w:rPr>
        <w:br w:type="page"/>
      </w:r>
      <w:bookmarkStart w:id="93" w:name="_Toc67502331"/>
      <w:bookmarkStart w:id="94" w:name="_Toc61279520"/>
      <w:r>
        <w:rPr>
          <w:rFonts w:hint="eastAsia" w:ascii="Times New Roman" w:hAnsi="Times New Roman" w:eastAsia="方正黑体_GBK" w:cs="Times New Roman"/>
          <w:bCs/>
          <w:kern w:val="44"/>
          <w:sz w:val="32"/>
          <w:szCs w:val="32"/>
          <w:lang w:val="zh-CN"/>
        </w:rPr>
        <w:t>第五章 全域“融湾”“融深”，打造开放合作平台</w:t>
      </w:r>
      <w:bookmarkEnd w:id="91"/>
      <w:bookmarkEnd w:id="93"/>
      <w:bookmarkEnd w:id="94"/>
    </w:p>
    <w:p>
      <w:pPr>
        <w:adjustRightInd w:val="0"/>
        <w:snapToGrid w:val="0"/>
        <w:spacing w:line="60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紧紧抓住新区产业转移园纳入深河产业共建的机遇，大力推进建设“</w:t>
      </w:r>
      <w:bookmarkStart w:id="95" w:name="_Hlk62148568"/>
      <w:r>
        <w:rPr>
          <w:rFonts w:hint="eastAsia" w:ascii="Times New Roman" w:hAnsi="Times New Roman" w:eastAsia="方正仿宋_GBK" w:cs="Times New Roman"/>
          <w:sz w:val="32"/>
          <w:szCs w:val="22"/>
        </w:rPr>
        <w:t>深河特别合作区</w:t>
      </w:r>
      <w:bookmarkEnd w:id="95"/>
      <w:r>
        <w:rPr>
          <w:rFonts w:hint="eastAsia" w:ascii="Times New Roman" w:hAnsi="Times New Roman" w:eastAsia="方正仿宋_GBK" w:cs="Times New Roman"/>
          <w:sz w:val="32"/>
          <w:szCs w:val="22"/>
        </w:rPr>
        <w:t>”，积极承接粤港澳大湾区的产业延伸和企业转移，紧密对接深圳，推进新区融入粤港澳大湾区，打造粤港澳大湾区区域合作示范区。</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96" w:name="_Toc59798199"/>
      <w:bookmarkStart w:id="97" w:name="_Toc61279521"/>
      <w:bookmarkStart w:id="98" w:name="_Toc67502332"/>
      <w:r>
        <w:rPr>
          <w:rFonts w:hint="eastAsia" w:ascii="Times New Roman" w:hAnsi="Times New Roman" w:eastAsia="方正楷体_GBK" w:cs="Times New Roman"/>
          <w:kern w:val="0"/>
          <w:sz w:val="32"/>
          <w:szCs w:val="32"/>
        </w:rPr>
        <w:t>第一节</w:t>
      </w:r>
      <w:bookmarkEnd w:id="96"/>
      <w:bookmarkEnd w:id="97"/>
      <w:r>
        <w:rPr>
          <w:rFonts w:hint="eastAsia" w:ascii="Times New Roman" w:hAnsi="Times New Roman" w:eastAsia="方正楷体_GBK" w:cs="Times New Roman"/>
          <w:kern w:val="0"/>
          <w:sz w:val="32"/>
          <w:szCs w:val="32"/>
        </w:rPr>
        <w:t xml:space="preserve"> 推动建设深河特别合作区</w:t>
      </w:r>
      <w:bookmarkEnd w:id="98"/>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打造深圳产业转移和扩张发展首选地。</w:t>
      </w:r>
      <w:r>
        <w:rPr>
          <w:rFonts w:hint="eastAsia" w:ascii="Times New Roman" w:hAnsi="Times New Roman" w:eastAsia="方正仿宋_GBK" w:cs="Times New Roman"/>
          <w:sz w:val="32"/>
          <w:szCs w:val="22"/>
        </w:rPr>
        <w:t>加快深河特别合作区（深河共建示范区）规划编制，深度参与深圳都市圈建设，构建融入大湾区建设新轴带，打造深圳产业转移和扩张发展首选地。积极探索创新产业跨区域转移的利益共享机制，细化利益分享方案，共同举办招商推介活动，推动园区建设迈向高质量发展。以管理对接、产业对接、制度对接为支撑，打造粤港澳大湾区区域合作示范区、自贸试验区改革创新协同发展示范区，力争建设成为国家级区域合作经济开发区。深化产业共建模式，鼓励设立“区中区”“园中园”，采取委托管理、投资合作等多种方式参与共建产业园建设。加强同深圳前海、广州南沙新区（自贸区）、珠海横琴新区、中新广州知识城、东莞松山湖高新区等周边地区的产业合作，推动形成粤港澳大湾区协同创新延伸区和成果转化拓展区。</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融入湾区协同创新共同体。</w:t>
      </w:r>
      <w:r>
        <w:rPr>
          <w:rFonts w:hint="eastAsia" w:ascii="Times New Roman" w:hAnsi="Times New Roman" w:eastAsia="方正仿宋_GBK" w:cs="Times New Roman"/>
          <w:sz w:val="32"/>
          <w:szCs w:val="22"/>
        </w:rPr>
        <w:t>以新区产业园区获批省级高新区为契机，深化“双区研发</w:t>
      </w:r>
      <w:r>
        <w:rPr>
          <w:rFonts w:ascii="Times New Roman" w:hAnsi="Times New Roman" w:eastAsia="方正仿宋_GBK" w:cs="Times New Roman"/>
          <w:sz w:val="32"/>
          <w:szCs w:val="22"/>
        </w:rPr>
        <w:t>+</w:t>
      </w:r>
      <w:r>
        <w:rPr>
          <w:rFonts w:hint="eastAsia" w:ascii="Times New Roman" w:hAnsi="Times New Roman" w:eastAsia="方正仿宋_GBK" w:cs="Times New Roman"/>
          <w:sz w:val="32"/>
          <w:szCs w:val="22"/>
        </w:rPr>
        <w:t>新区孵化”“双区创新</w:t>
      </w:r>
      <w:r>
        <w:rPr>
          <w:rFonts w:ascii="Times New Roman" w:hAnsi="Times New Roman" w:eastAsia="方正仿宋_GBK" w:cs="Times New Roman"/>
          <w:sz w:val="32"/>
          <w:szCs w:val="22"/>
        </w:rPr>
        <w:t>+新区产业化”等协同创新模式</w:t>
      </w:r>
      <w:r>
        <w:rPr>
          <w:rFonts w:hint="eastAsia" w:ascii="Times New Roman" w:hAnsi="Times New Roman" w:eastAsia="方正仿宋_GBK" w:cs="Times New Roman"/>
          <w:sz w:val="32"/>
          <w:szCs w:val="22"/>
        </w:rPr>
        <w:t>。深度对接粤港澳大湾区国际科技创新中心和“广州—深圳—香港—澳门”科技创新走廊的创新创业资源要素、成果转化和市场经验，转化为新区区域发展新优势、创新发展新动力和跨越发展新平台，推动形成粤港澳大湾区的重要创新增长极。以对接大湾区产业链创新为重点，推动新区与大湾区实现同一产业链、不同价值链的产业分工，加快重大科学仪器设备开发、农业科技成果转化、国际科技合作专项等领域的创新合作，推进河源市岭南健康产业创新研究院建设。创新重大项目协同联动机制，鼓励新区企业、研发机构与大湾区相关企业、机构、高校等联合申报国家和省重大科技专项。加强与大湾区重大科技基础设施、新型研发机构、科技企业孵化器等资源对接，探索合作共建、设立研发分中心等模式，构建区域创新资源共建共享机制。</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99" w:name="_Toc61279522"/>
      <w:bookmarkStart w:id="100" w:name="_Toc67502333"/>
      <w:bookmarkStart w:id="101" w:name="_Toc59798200"/>
      <w:r>
        <w:rPr>
          <w:rFonts w:hint="eastAsia" w:ascii="Times New Roman" w:hAnsi="Times New Roman" w:eastAsia="方正楷体_GBK" w:cs="Times New Roman"/>
          <w:kern w:val="0"/>
          <w:sz w:val="32"/>
          <w:szCs w:val="32"/>
        </w:rPr>
        <w:t>第二节 构建互联互通基础设施网络</w:t>
      </w:r>
      <w:bookmarkEnd w:id="99"/>
      <w:bookmarkEnd w:id="100"/>
      <w:bookmarkEnd w:id="101"/>
    </w:p>
    <w:p>
      <w:pPr>
        <w:adjustRightInd w:val="0"/>
        <w:snapToGrid w:val="0"/>
        <w:spacing w:line="60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全面融入大湾区核心城市一小时交通圈、生活圈。配合河源市密切对接</w:t>
      </w:r>
      <w:bookmarkStart w:id="102" w:name="_Hlk62148597"/>
      <w:r>
        <w:rPr>
          <w:rFonts w:hint="eastAsia" w:ascii="Times New Roman" w:hAnsi="Times New Roman" w:eastAsia="方正仿宋_GBK" w:cs="Times New Roman"/>
          <w:sz w:val="32"/>
          <w:szCs w:val="22"/>
        </w:rPr>
        <w:t>深圳都市圈</w:t>
      </w:r>
      <w:bookmarkEnd w:id="102"/>
      <w:r>
        <w:rPr>
          <w:rFonts w:hint="eastAsia" w:ascii="Times New Roman" w:hAnsi="Times New Roman" w:eastAsia="方正仿宋_GBK" w:cs="Times New Roman"/>
          <w:sz w:val="32"/>
          <w:szCs w:val="22"/>
        </w:rPr>
        <w:t>规划编制，配合深圳推进都市圈轨道交通和站城一体化发展，积极融入粤港澳大湾区交通基础设施网络。积极推动河源通用机场融入深莞惠都市圈航空运输体系，加强航空领域合作，谋划开展跨境直升机服务。强化古竹港的枢纽作用，加强与大湾区在港口、航道、锚地等基础设施建设的规划衔接，将东江航道古竹港区建设成为粤东北地区对外开放和经贸合作的重要节点。加快推进与深莞惠都市圈轨道交通的对接，推动实现高铁握手。加快完善区域道路与河惠深、河惠汕高速等的路网衔接。依托新一代信息基础设施建设，加快提升5</w:t>
      </w:r>
      <w:r>
        <w:rPr>
          <w:rFonts w:ascii="Times New Roman" w:hAnsi="Times New Roman" w:eastAsia="方正仿宋_GBK" w:cs="Times New Roman"/>
          <w:sz w:val="32"/>
          <w:szCs w:val="22"/>
        </w:rPr>
        <w:t>G</w:t>
      </w:r>
      <w:r>
        <w:rPr>
          <w:rFonts w:hint="eastAsia" w:ascii="Times New Roman" w:hAnsi="Times New Roman" w:eastAsia="方正仿宋_GBK" w:cs="Times New Roman"/>
          <w:sz w:val="32"/>
          <w:szCs w:val="22"/>
        </w:rPr>
        <w:t>网络覆盖，推进与粤港澳大湾区网间互联宽带扩容。加强与大湾区的金融科技设施的有机衔接。积极推动能源、水利设施与大湾区协调建设。</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103" w:name="_Toc61279523"/>
      <w:bookmarkStart w:id="104" w:name="_Toc67502334"/>
      <w:bookmarkStart w:id="105" w:name="_Toc59798201"/>
      <w:r>
        <w:rPr>
          <w:rFonts w:hint="eastAsia" w:ascii="Times New Roman" w:hAnsi="Times New Roman" w:eastAsia="方正楷体_GBK" w:cs="Times New Roman"/>
          <w:kern w:val="0"/>
          <w:sz w:val="32"/>
          <w:szCs w:val="32"/>
        </w:rPr>
        <w:t>第三节 深度融入“双区”“大网络”“大市场”</w:t>
      </w:r>
      <w:bookmarkEnd w:id="103"/>
      <w:bookmarkEnd w:id="104"/>
      <w:bookmarkEnd w:id="105"/>
    </w:p>
    <w:p>
      <w:pPr>
        <w:adjustRightInd w:val="0"/>
        <w:snapToGrid w:val="0"/>
        <w:spacing w:line="60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积极对接双区体制机制。进一步破除行政壁垒，依托智慧城市建设，积极推动新区政务平台与大湾区、深圳先行示范区政务平台的对接，建立跨区域公共信息平台，实现信息资源共享。畅通资本流通渠道，推动产权交易市场合作，支持大湾区、深圳先行示范区银行等金融机构持牌开展跨地区经营。健全流通网络布局，大力引进大型龙头物流企业，深度参与珠三角区域物流设施一体化、联运化建设，加快完善新区物流基础设施网络。持续加大生态农产品供给，加强同大湾区食品安全合作，为大湾区提供绿色优质果蔬产品，建立和完善农产品产销对接的长效市场机制。</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106" w:name="_Toc61279524"/>
      <w:bookmarkStart w:id="107" w:name="_Toc59798202"/>
      <w:bookmarkStart w:id="108" w:name="_Toc67502335"/>
      <w:r>
        <w:rPr>
          <w:rFonts w:hint="eastAsia" w:ascii="Times New Roman" w:hAnsi="Times New Roman" w:eastAsia="方正楷体_GBK" w:cs="Times New Roman"/>
          <w:kern w:val="0"/>
          <w:sz w:val="32"/>
          <w:szCs w:val="32"/>
        </w:rPr>
        <w:t>第四节 推进与“双区”基本公共服务一体化</w:t>
      </w:r>
      <w:bookmarkEnd w:id="106"/>
      <w:bookmarkEnd w:id="107"/>
      <w:bookmarkEnd w:id="108"/>
    </w:p>
    <w:p>
      <w:pPr>
        <w:adjustRightInd w:val="0"/>
        <w:snapToGrid w:val="0"/>
        <w:spacing w:line="60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落实“珠江人才计划”“广东特支计划”和“扬帆计划”，主动对接双区的高校、科研院所、人才工作平台等，加快引进培育急需紧缺的创新团队、高端人才和高技能人才。加快建立统一的人力资源市场，建立健全两地互认的户籍、住房、教育、人事管理和社会保险关系转移制度。积极引进大湾区优质教育资源，强化与湾区学校交流合作。深化与大湾区医疗领域合作，推进区域医疗联合体建设。加快发展文旅、康养等产业，努力开发多元化的康养旅游产品，探索与大湾区“养生</w:t>
      </w:r>
      <w:r>
        <w:rPr>
          <w:rFonts w:ascii="Times New Roman" w:hAnsi="Times New Roman" w:eastAsia="方正仿宋_GBK" w:cs="Times New Roman"/>
          <w:sz w:val="32"/>
          <w:szCs w:val="22"/>
        </w:rPr>
        <w:t>+旅游”合作模式</w:t>
      </w:r>
      <w:r>
        <w:rPr>
          <w:rFonts w:hint="eastAsia" w:ascii="Times New Roman" w:hAnsi="Times New Roman" w:eastAsia="方正仿宋_GBK" w:cs="Times New Roman"/>
          <w:sz w:val="32"/>
          <w:szCs w:val="22"/>
        </w:rPr>
        <w:t>，积极吸引湾区城市人员到新区旅游观光。深化社会治理合作，以新区智慧城市综合指挥中心建设为切入口，积极探索社会治理联动机制，积极推动与大湾区联合执法、联合监测、联合应急、共同治理，与大湾区协同建立廉政机制，加强司法协助，为融入大湾区创造更优良的社会环境。</w:t>
      </w:r>
    </w:p>
    <w:p>
      <w:pPr>
        <w:keepNext/>
        <w:keepLines/>
        <w:adjustRightInd w:val="0"/>
        <w:snapToGrid w:val="0"/>
        <w:spacing w:before="156" w:beforeLines="50" w:after="156" w:afterLines="50" w:line="580" w:lineRule="exact"/>
        <w:jc w:val="center"/>
        <w:outlineLvl w:val="0"/>
        <w:rPr>
          <w:rFonts w:ascii="Times New Roman" w:hAnsi="Times New Roman" w:eastAsia="方正黑体_GBK" w:cs="Times New Roman"/>
          <w:bCs/>
          <w:kern w:val="44"/>
          <w:sz w:val="32"/>
          <w:szCs w:val="32"/>
          <w:lang w:val="zh-CN"/>
        </w:rPr>
      </w:pPr>
      <w:bookmarkStart w:id="109" w:name="_Toc59798203"/>
      <w:r>
        <w:rPr>
          <w:rFonts w:ascii="Times New Roman" w:hAnsi="Times New Roman" w:eastAsia="方正黑体_GBK" w:cs="Times New Roman"/>
          <w:bCs/>
          <w:kern w:val="44"/>
          <w:sz w:val="32"/>
          <w:szCs w:val="32"/>
          <w:lang w:val="zh-CN"/>
        </w:rPr>
        <w:br w:type="page"/>
      </w:r>
      <w:bookmarkStart w:id="110" w:name="_Toc61279525"/>
      <w:bookmarkStart w:id="111" w:name="_Toc67502336"/>
      <w:r>
        <w:rPr>
          <w:rFonts w:hint="eastAsia" w:ascii="Times New Roman" w:hAnsi="Times New Roman" w:eastAsia="方正黑体_GBK" w:cs="Times New Roman"/>
          <w:bCs/>
          <w:kern w:val="44"/>
          <w:sz w:val="32"/>
          <w:szCs w:val="32"/>
          <w:lang w:val="zh-CN"/>
        </w:rPr>
        <w:t>第六章 加快融入双循环体系，打造内外市场平台</w:t>
      </w:r>
      <w:bookmarkEnd w:id="109"/>
      <w:bookmarkEnd w:id="110"/>
      <w:bookmarkEnd w:id="111"/>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统筹利用国内国际两个市场、两种资源，抢抓国家扩大内需的战略机遇，加强市场主体培育，加快完善内需体系，推动更高水平的对外开放，通过推进重点项目建设、扩大有效投资、推动片区综合开发，为建设“河源未来城市发展核心”打好基础、创造条件。</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112" w:name="_Toc67502337"/>
      <w:bookmarkStart w:id="113" w:name="_Toc61279526"/>
      <w:bookmarkStart w:id="114" w:name="_Toc59798204"/>
      <w:r>
        <w:rPr>
          <w:rFonts w:hint="eastAsia" w:ascii="Times New Roman" w:hAnsi="Times New Roman" w:eastAsia="方正楷体_GBK" w:cs="Times New Roman"/>
          <w:kern w:val="0"/>
          <w:sz w:val="32"/>
          <w:szCs w:val="32"/>
        </w:rPr>
        <w:t>第一节 全力扩大有效投资</w:t>
      </w:r>
      <w:bookmarkEnd w:id="112"/>
      <w:bookmarkEnd w:id="113"/>
      <w:bookmarkEnd w:id="114"/>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关键领域补齐短板。</w:t>
      </w:r>
      <w:r>
        <w:rPr>
          <w:rFonts w:hint="eastAsia" w:ascii="Times New Roman" w:hAnsi="Times New Roman" w:eastAsia="方正仿宋_GBK" w:cs="Times New Roman"/>
          <w:sz w:val="32"/>
          <w:szCs w:val="22"/>
        </w:rPr>
        <w:t>加大基础设施领域补短板力度，加快推进古竹港区码头、河源通用机场等重点项目建设，进一步推进铁路、公路、水运、机场、水利、能源等基础设施建设。着力补齐民生领域短板，持续提高旅游、养老、医疗和教育等产品供给，加强社会民生、城镇老旧小区改造等领域建设。加快补齐公共卫生应急救治能力短板，谋划一批公共卫生、基层医疗、生物医药研发等补短板项目。优化有效投资的空间布局，扩大农业农村有效投资，统筹推进乡村振兴项目，不断提高乡村地区人均公共设施投入。加快补上科技创新短板，支持企业加大技术研发力度。</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加速推进项目投资。</w:t>
      </w:r>
      <w:r>
        <w:rPr>
          <w:rFonts w:hint="eastAsia" w:ascii="Times New Roman" w:hAnsi="Times New Roman" w:eastAsia="方正仿宋_GBK" w:cs="Times New Roman"/>
          <w:sz w:val="32"/>
          <w:szCs w:val="22"/>
        </w:rPr>
        <w:t>持续加大土地收储、基础设施建设和功能配套力度，着力提高产业用地的土地利用强度，积极为落户企业解决生产困难，推动重点项目落地投产。围绕</w:t>
      </w:r>
      <w:bookmarkStart w:id="115" w:name="_Hlk62148669"/>
      <w:r>
        <w:rPr>
          <w:rFonts w:hint="eastAsia" w:ascii="Times New Roman" w:hAnsi="Times New Roman" w:eastAsia="方正仿宋_GBK" w:cs="Times New Roman"/>
          <w:sz w:val="32"/>
          <w:szCs w:val="22"/>
        </w:rPr>
        <w:t>四大组团</w:t>
      </w:r>
      <w:bookmarkEnd w:id="115"/>
      <w:r>
        <w:rPr>
          <w:rFonts w:hint="eastAsia" w:ascii="Times New Roman" w:hAnsi="Times New Roman" w:eastAsia="方正仿宋_GBK" w:cs="Times New Roman"/>
          <w:sz w:val="32"/>
          <w:szCs w:val="22"/>
        </w:rPr>
        <w:t>推动重点项目加快建设，推进省、市</w:t>
      </w:r>
      <w:r>
        <w:rPr>
          <w:rFonts w:ascii="Times New Roman" w:hAnsi="Times New Roman" w:eastAsia="方正仿宋_GBK" w:cs="Times New Roman"/>
          <w:sz w:val="32"/>
          <w:szCs w:val="22"/>
        </w:rPr>
        <w:t>重点项目建设，推动工业</w:t>
      </w:r>
      <w:r>
        <w:rPr>
          <w:rFonts w:hint="eastAsia" w:ascii="Times New Roman" w:hAnsi="Times New Roman" w:eastAsia="方正仿宋_GBK" w:cs="Times New Roman"/>
          <w:sz w:val="32"/>
          <w:szCs w:val="22"/>
        </w:rPr>
        <w:t>投资稳步增长，促进埃纳生、凯中精密、轩朗等企业满负荷生产，推进松乐、金国威、博通等在建工业项目加快建设，加快新引进项目的供地计划尽快落实。充分运用市场机制，持续推动江东新区产业园区产业转型升级，推进“</w:t>
      </w:r>
      <w:bookmarkStart w:id="116" w:name="_Hlk62148679"/>
      <w:r>
        <w:rPr>
          <w:rFonts w:hint="eastAsia" w:ascii="Times New Roman" w:hAnsi="Times New Roman" w:eastAsia="方正仿宋_GBK" w:cs="Times New Roman"/>
          <w:sz w:val="32"/>
          <w:szCs w:val="22"/>
        </w:rPr>
        <w:t>腾笼换鸟</w:t>
      </w:r>
      <w:bookmarkEnd w:id="116"/>
      <w:r>
        <w:rPr>
          <w:rFonts w:hint="eastAsia" w:ascii="Times New Roman" w:hAnsi="Times New Roman" w:eastAsia="方正仿宋_GBK" w:cs="Times New Roman"/>
          <w:sz w:val="32"/>
          <w:szCs w:val="22"/>
        </w:rPr>
        <w:t>”，为重大产业项目落地腾出空间。着力推动建筑行业发展，保持房地产投资高速增长的良好势头，大力推进中骏·世界城、时代倾城、十里东岸等项目续建，加快推进星河丹堤花园、金港·星河湾、梧桐悦色等新开工</w:t>
      </w:r>
      <w:r>
        <w:rPr>
          <w:rFonts w:ascii="Times New Roman" w:hAnsi="Times New Roman" w:eastAsia="方正仿宋_GBK" w:cs="Times New Roman"/>
          <w:sz w:val="32"/>
          <w:szCs w:val="22"/>
        </w:rPr>
        <w:t>项目</w:t>
      </w:r>
      <w:r>
        <w:rPr>
          <w:rFonts w:hint="eastAsia" w:ascii="Times New Roman" w:hAnsi="Times New Roman" w:eastAsia="方正仿宋_GBK" w:cs="Times New Roman"/>
          <w:sz w:val="32"/>
          <w:szCs w:val="22"/>
        </w:rPr>
        <w:t>建设。加快江东新区产业园、古竹镇工业园建设，完善园区的供水、供电及园区道路建设等各项基础设施。推动产业园区资源整合工作，把新区省级产业转移园、原临江工业园、井水工业园、金珠工业园及古竹片区工业园进行资源整合、统一管理。加快河源恐龙文化产业园、河源报业传媒文化产业园、军民融合航空航天产业园等特色产业园区建设。</w:t>
      </w:r>
    </w:p>
    <w:p>
      <w:pPr>
        <w:adjustRightInd w:val="0"/>
        <w:snapToGrid w:val="0"/>
        <w:spacing w:line="560" w:lineRule="exact"/>
        <w:ind w:firstLine="643" w:firstLineChars="200"/>
        <w:rPr>
          <w:rFonts w:ascii="Times New Roman" w:hAnsi="Times New Roman" w:eastAsia="方正仿宋_GBK" w:cs="Times New Roman"/>
          <w:b/>
          <w:bCs/>
          <w:sz w:val="32"/>
          <w:szCs w:val="22"/>
        </w:rPr>
      </w:pPr>
      <w:r>
        <w:rPr>
          <w:rFonts w:hint="eastAsia" w:ascii="Times New Roman" w:hAnsi="Times New Roman" w:eastAsia="方正仿宋_GBK" w:cs="Times New Roman"/>
          <w:b/>
          <w:bCs/>
          <w:sz w:val="32"/>
          <w:szCs w:val="22"/>
        </w:rPr>
        <w:t>深化投融资体制改革。</w:t>
      </w:r>
      <w:r>
        <w:rPr>
          <w:rFonts w:hint="eastAsia" w:ascii="Times New Roman" w:hAnsi="Times New Roman" w:eastAsia="方正仿宋_GBK" w:cs="Times New Roman"/>
          <w:sz w:val="32"/>
          <w:szCs w:val="22"/>
        </w:rPr>
        <w:t>加快实现投资领域要素配置效益最大化和效率最优化。建立完善新区重大项目联动机制，引导资金、土地、技术、劳动力等各类要素协同向新区重大项目、重大工程、重大平台等有效投资领域集聚，优先支持重大基础设施建设和产业发展。进一步深化基础设施投融资机制改革。充分发挥政府和市场“</w:t>
      </w:r>
      <w:bookmarkStart w:id="117" w:name="_Hlk62148692"/>
      <w:r>
        <w:rPr>
          <w:rFonts w:hint="eastAsia" w:ascii="Times New Roman" w:hAnsi="Times New Roman" w:eastAsia="方正仿宋_GBK" w:cs="Times New Roman"/>
          <w:sz w:val="32"/>
          <w:szCs w:val="22"/>
        </w:rPr>
        <w:t>两只手</w:t>
      </w:r>
      <w:bookmarkEnd w:id="117"/>
      <w:r>
        <w:rPr>
          <w:rFonts w:hint="eastAsia" w:ascii="Times New Roman" w:hAnsi="Times New Roman" w:eastAsia="方正仿宋_GBK" w:cs="Times New Roman"/>
          <w:sz w:val="32"/>
          <w:szCs w:val="22"/>
        </w:rPr>
        <w:t>”作用，落实顶层设计，以“</w:t>
      </w:r>
      <w:bookmarkStart w:id="118" w:name="_Hlk62148698"/>
      <w:r>
        <w:rPr>
          <w:rFonts w:hint="eastAsia" w:ascii="Times New Roman" w:hAnsi="Times New Roman" w:eastAsia="方正仿宋_GBK" w:cs="Times New Roman"/>
          <w:sz w:val="32"/>
          <w:szCs w:val="22"/>
        </w:rPr>
        <w:t>经营城市</w:t>
      </w:r>
      <w:bookmarkEnd w:id="118"/>
      <w:r>
        <w:rPr>
          <w:rFonts w:hint="eastAsia" w:ascii="Times New Roman" w:hAnsi="Times New Roman" w:eastAsia="方正仿宋_GBK" w:cs="Times New Roman"/>
          <w:sz w:val="32"/>
          <w:szCs w:val="22"/>
        </w:rPr>
        <w:t>”的理念创新政府投融资体制机制，充分协调政府撬动与市场带动之间的关系，发挥政府和社会资本合作模式、基础设施领域不动产投资信托基金等投融资政策工具作用，解决新区建设资金问题。完善政府投资项目管理办法。落实《政府投资条例》《企业投资项目核准和备案管理条例》有关要求，进一步规范政府投资项目管理，建立健全科学、民主的政府投资项目决策组织实施程序，依法治理违法劣质投资活动，规范投资行为。</w:t>
      </w:r>
    </w:p>
    <w:p>
      <w:pPr>
        <w:adjustRightInd w:val="0"/>
        <w:snapToGrid w:val="0"/>
        <w:spacing w:before="156" w:beforeLines="50" w:after="156" w:afterLines="50" w:line="560" w:lineRule="exact"/>
        <w:jc w:val="center"/>
        <w:outlineLvl w:val="1"/>
        <w:rPr>
          <w:rFonts w:ascii="Times New Roman" w:hAnsi="Times New Roman" w:eastAsia="方正楷体_GBK" w:cs="Times New Roman"/>
          <w:kern w:val="0"/>
          <w:sz w:val="32"/>
          <w:szCs w:val="32"/>
        </w:rPr>
      </w:pPr>
      <w:bookmarkStart w:id="119" w:name="_Toc67502338"/>
      <w:bookmarkStart w:id="120" w:name="_Toc61279527"/>
      <w:bookmarkStart w:id="121" w:name="_Toc59798205"/>
      <w:r>
        <w:rPr>
          <w:rFonts w:hint="eastAsia" w:ascii="Times New Roman" w:hAnsi="Times New Roman" w:eastAsia="方正楷体_GBK" w:cs="Times New Roman"/>
          <w:kern w:val="0"/>
          <w:sz w:val="32"/>
          <w:szCs w:val="32"/>
        </w:rPr>
        <w:t>第二节 促进消费提质扩容</w:t>
      </w:r>
      <w:bookmarkEnd w:id="119"/>
      <w:bookmarkEnd w:id="120"/>
      <w:bookmarkEnd w:id="121"/>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大力提振传统消费。</w:t>
      </w:r>
      <w:r>
        <w:rPr>
          <w:rFonts w:hint="eastAsia" w:ascii="Times New Roman" w:hAnsi="Times New Roman" w:eastAsia="方正仿宋_GBK" w:cs="Times New Roman"/>
          <w:sz w:val="32"/>
          <w:szCs w:val="22"/>
        </w:rPr>
        <w:t>加强对社消零企业的培育指导，引导商贸流通企业和广大群众积极参与促消费活动。促进城乡消费回补升级。完善便民消费网络。优化社区便利店、农贸市场布局，打造“</w:t>
      </w:r>
      <w:r>
        <w:rPr>
          <w:rFonts w:ascii="Times New Roman" w:hAnsi="Times New Roman" w:eastAsia="方正仿宋_GBK" w:cs="Times New Roman"/>
          <w:sz w:val="32"/>
          <w:szCs w:val="22"/>
        </w:rPr>
        <w:t>15分钟便民生活服务圈”。补齐乡村消费短板弱项。扩大电商进农村覆盖面，整合物流快递资源，加强名优特新农产品线上线下展销。</w:t>
      </w:r>
      <w:r>
        <w:rPr>
          <w:rFonts w:hint="eastAsia" w:ascii="Times New Roman" w:hAnsi="Times New Roman" w:eastAsia="方正仿宋_GBK" w:cs="Times New Roman"/>
          <w:sz w:val="32"/>
          <w:szCs w:val="22"/>
        </w:rPr>
        <w:t>引导临江、古竹</w:t>
      </w:r>
      <w:r>
        <w:rPr>
          <w:rFonts w:ascii="Times New Roman" w:hAnsi="Times New Roman" w:eastAsia="方正仿宋_GBK" w:cs="Times New Roman"/>
          <w:sz w:val="32"/>
          <w:szCs w:val="22"/>
        </w:rPr>
        <w:t>发展乡镇商贸中心，引导大型商贸企业在乡镇布点，推动供应链下沉，打造农村消费集聚平台。大力促进汽车</w:t>
      </w:r>
      <w:r>
        <w:rPr>
          <w:rFonts w:hint="eastAsia" w:ascii="Times New Roman" w:hAnsi="Times New Roman" w:eastAsia="方正仿宋_GBK" w:cs="Times New Roman"/>
          <w:sz w:val="32"/>
          <w:szCs w:val="22"/>
        </w:rPr>
        <w:t>、住房等传统</w:t>
      </w:r>
      <w:r>
        <w:rPr>
          <w:rFonts w:ascii="Times New Roman" w:hAnsi="Times New Roman" w:eastAsia="方正仿宋_GBK" w:cs="Times New Roman"/>
          <w:sz w:val="32"/>
          <w:szCs w:val="22"/>
        </w:rPr>
        <w:t>消费</w:t>
      </w:r>
      <w:r>
        <w:rPr>
          <w:rFonts w:hint="eastAsia" w:ascii="Times New Roman" w:hAnsi="Times New Roman" w:eastAsia="方正仿宋_GBK" w:cs="Times New Roman"/>
          <w:sz w:val="32"/>
          <w:szCs w:val="22"/>
        </w:rPr>
        <w:t>健康发展</w:t>
      </w:r>
      <w:r>
        <w:rPr>
          <w:rFonts w:ascii="Times New Roman" w:hAnsi="Times New Roman" w:eastAsia="方正仿宋_GBK" w:cs="Times New Roman"/>
          <w:sz w:val="32"/>
          <w:szCs w:val="22"/>
        </w:rPr>
        <w:t>。</w:t>
      </w:r>
      <w:r>
        <w:rPr>
          <w:rFonts w:hint="eastAsia" w:ascii="Times New Roman" w:hAnsi="Times New Roman" w:eastAsia="方正仿宋_GBK" w:cs="Times New Roman"/>
          <w:sz w:val="32"/>
          <w:szCs w:val="22"/>
        </w:rPr>
        <w:t>以市出台推动汽车消费政策为契机，</w:t>
      </w:r>
      <w:r>
        <w:rPr>
          <w:rFonts w:ascii="Times New Roman" w:hAnsi="Times New Roman" w:eastAsia="方正仿宋_GBK" w:cs="Times New Roman"/>
          <w:sz w:val="32"/>
          <w:szCs w:val="22"/>
        </w:rPr>
        <w:t>抓紧落实新政策新措施，支持鼓励汽车消费下乡，进一步释放汽车消费空间。带动家电家具消费。鼓励企业开展消费电子产品以旧换新，积极促进绿色节能家电、家具消费。</w:t>
      </w:r>
      <w:r>
        <w:rPr>
          <w:rFonts w:hint="eastAsia" w:ascii="Times New Roman" w:hAnsi="Times New Roman" w:eastAsia="方正仿宋_GBK" w:cs="Times New Roman"/>
          <w:sz w:val="32"/>
          <w:szCs w:val="22"/>
        </w:rPr>
        <w:t>结合新区房地产市场和商品房库存情况，落实《广东省完善促进消费体制机制实施方案》，积极扩大租赁住房用地有效供应，引导住房消费健康发展。</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积极培育消费新业态。</w:t>
      </w:r>
      <w:r>
        <w:rPr>
          <w:rFonts w:hint="eastAsia" w:ascii="Times New Roman" w:hAnsi="Times New Roman" w:eastAsia="方正仿宋_GBK" w:cs="Times New Roman"/>
          <w:sz w:val="32"/>
          <w:szCs w:val="22"/>
        </w:rPr>
        <w:t>结合新区建设“河源未来城市发展核心”的目标，加快完善城市商贸形态，建立健全“互联网+服务”消费生态体系，鼓励建设“智慧商店”“智慧街区”“智慧商圈”，推动在线教育、互联网诊疗、在线文娱、智慧旅游、智能体育等消费新业态发展。加快零售创新转型，推动批发零售餐饮业向“互联网</w:t>
      </w:r>
      <w:r>
        <w:rPr>
          <w:rFonts w:ascii="Times New Roman" w:hAnsi="Times New Roman" w:eastAsia="方正仿宋_GBK" w:cs="Times New Roman"/>
          <w:sz w:val="32"/>
          <w:szCs w:val="22"/>
        </w:rPr>
        <w:t>+</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转变</w:t>
      </w:r>
      <w:r>
        <w:rPr>
          <w:rFonts w:hint="eastAsia" w:ascii="Times New Roman" w:hAnsi="Times New Roman" w:eastAsia="方正仿宋_GBK" w:cs="Times New Roman"/>
          <w:sz w:val="32"/>
          <w:szCs w:val="22"/>
        </w:rPr>
        <w:t>。鼓励新区的外卖配送、网约车、即时递送、住宿共享等新业态发展。鼓励发展</w:t>
      </w:r>
      <w:bookmarkStart w:id="122" w:name="_Hlk62148744"/>
      <w:r>
        <w:rPr>
          <w:rFonts w:hint="eastAsia" w:ascii="Times New Roman" w:hAnsi="Times New Roman" w:eastAsia="方正仿宋_GBK" w:cs="Times New Roman"/>
          <w:sz w:val="32"/>
          <w:szCs w:val="22"/>
        </w:rPr>
        <w:t>夜经济、地摊经济、小店经济、马路经济</w:t>
      </w:r>
      <w:bookmarkEnd w:id="122"/>
      <w:r>
        <w:rPr>
          <w:rFonts w:hint="eastAsia" w:ascii="Times New Roman" w:hAnsi="Times New Roman" w:eastAsia="方正仿宋_GBK" w:cs="Times New Roman"/>
          <w:sz w:val="32"/>
          <w:szCs w:val="22"/>
        </w:rPr>
        <w:t>，提升消费对新区经济发展的带动作用。积极培育商贸金融、会展酒店、文化创意等新业态和健康、教育、养老、文化等新消费模式、消费业态，深入挖掘新区消费潜力。</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全面营造良好消费环境。</w:t>
      </w:r>
      <w:r>
        <w:rPr>
          <w:rFonts w:hint="eastAsia" w:ascii="Times New Roman" w:hAnsi="Times New Roman" w:eastAsia="方正仿宋_GBK" w:cs="Times New Roman"/>
          <w:sz w:val="32"/>
          <w:szCs w:val="22"/>
        </w:rPr>
        <w:t>落实《关于促进消费扩容提质加快形成强大国内市场的实施意见》等各项促进消费政策，大力支持餐饮、商场等生活服务业发展，稳定和扩大汽车消费并带动石油及制品类商品的消费，有效促进恢复性、补偿性消费。推进步行街改造提升，鼓励中骏世界城实施数字化发展，打造沉浸式、体验式消费，引导中小百货大楼向邻里型社区购物中心转型。深挖内需市场潜力，培育优质品牌商贸企业。进一步规范市场价格秩序，深入开展监督检查专项执法行动，严厉打击制假售假、囤积居奇、哄抬物价等扰乱市场违法行为，做好消费者维权工作。落实带薪休假制度，鼓励单位安排职工带薪休假、错峰休假。</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加快建设现代流通体系。</w:t>
      </w:r>
      <w:r>
        <w:rPr>
          <w:rFonts w:hint="eastAsia" w:ascii="Times New Roman" w:hAnsi="Times New Roman" w:eastAsia="方正仿宋_GBK" w:cs="Times New Roman"/>
          <w:sz w:val="32"/>
          <w:szCs w:val="22"/>
        </w:rPr>
        <w:t>加快建设现代综合运输体系，加快交通基础设施、物流枢纽、配送中心、储备库、冷链基地、公共信息平台等基础设施建设。积极对接“双区”交通网络建设，推动完善新区的物流运输网络。构建以人为本的现代商贸流通体系，加快完善商贸流通基础设施网络，推动京东亚洲一号5</w:t>
      </w:r>
      <w:r>
        <w:rPr>
          <w:rFonts w:ascii="Times New Roman" w:hAnsi="Times New Roman" w:eastAsia="方正仿宋_GBK" w:cs="Times New Roman"/>
          <w:sz w:val="32"/>
          <w:szCs w:val="22"/>
        </w:rPr>
        <w:t>G</w:t>
      </w:r>
      <w:r>
        <w:rPr>
          <w:rFonts w:hint="eastAsia" w:ascii="Times New Roman" w:hAnsi="Times New Roman" w:eastAsia="方正仿宋_GBK" w:cs="Times New Roman"/>
          <w:sz w:val="32"/>
          <w:szCs w:val="22"/>
        </w:rPr>
        <w:t>人工智能仓落地，加快布局数字化消费网络，大力发展农村电商，加快农产品分拨、包装、预冷等集配装备和分拨仓、前置仓等仓储设施建设，推动农村商贸流通体系建设，加快实现村村通物流。加强应急物流体系建设，加快建设集应急物资生产储备、交通运输、分发配送于一体的应急供应链服务体系。加强流通主体建设，鼓励工业企业创办限上商贸流通企业，鼓励流通企业做大做强，培育一批大型流通骨干企业。</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123" w:name="_Toc59798206"/>
      <w:bookmarkStart w:id="124" w:name="_Toc61279528"/>
      <w:bookmarkStart w:id="125" w:name="_Toc67502339"/>
      <w:r>
        <w:rPr>
          <w:rFonts w:hint="eastAsia" w:ascii="Times New Roman" w:hAnsi="Times New Roman" w:eastAsia="方正楷体_GBK" w:cs="Times New Roman"/>
          <w:kern w:val="0"/>
          <w:sz w:val="32"/>
          <w:szCs w:val="32"/>
        </w:rPr>
        <w:t>第三节 推动外贸高质量发展</w:t>
      </w:r>
      <w:bookmarkEnd w:id="123"/>
      <w:bookmarkEnd w:id="124"/>
      <w:bookmarkEnd w:id="125"/>
    </w:p>
    <w:p>
      <w:pPr>
        <w:adjustRightInd w:val="0"/>
        <w:snapToGrid w:val="0"/>
        <w:spacing w:line="600" w:lineRule="exact"/>
        <w:ind w:firstLine="643" w:firstLineChars="200"/>
        <w:rPr>
          <w:rFonts w:ascii="Times New Roman" w:hAnsi="Times New Roman" w:eastAsia="方正仿宋_GBK" w:cs="Times New Roman"/>
          <w:b/>
          <w:bCs/>
          <w:sz w:val="32"/>
          <w:szCs w:val="22"/>
        </w:rPr>
      </w:pPr>
      <w:r>
        <w:rPr>
          <w:rFonts w:hint="eastAsia" w:ascii="Times New Roman" w:hAnsi="Times New Roman" w:eastAsia="方正仿宋_GBK" w:cs="Times New Roman"/>
          <w:b/>
          <w:bCs/>
          <w:sz w:val="32"/>
          <w:szCs w:val="22"/>
        </w:rPr>
        <w:t>提升外贸竞争力。</w:t>
      </w:r>
      <w:r>
        <w:rPr>
          <w:rFonts w:hint="eastAsia" w:ascii="Times New Roman" w:hAnsi="Times New Roman" w:eastAsia="方正仿宋_GBK" w:cs="Times New Roman"/>
          <w:sz w:val="32"/>
          <w:szCs w:val="22"/>
        </w:rPr>
        <w:t>实施贸易高质量发展“十大工程”。把握中欧投资协定谈判完成的契机，进一步扩大进出口规模，提高利用外资水平。全面落实进口贴息、出口信用保险、融资贴息等稳外贸政策，助力企业稳产稳增长。加大外贸企业培育和扶持力度，引导企业通过品牌打造、自主研发、技术改造、引入“互联网</w:t>
      </w:r>
      <w:r>
        <w:rPr>
          <w:rFonts w:ascii="Times New Roman" w:hAnsi="Times New Roman" w:eastAsia="方正仿宋_GBK" w:cs="Times New Roman"/>
          <w:sz w:val="32"/>
          <w:szCs w:val="22"/>
        </w:rPr>
        <w:t>+”等多种举措，加快国际市场开拓力度。</w:t>
      </w:r>
      <w:r>
        <w:rPr>
          <w:rFonts w:hint="eastAsia" w:ascii="Times New Roman" w:hAnsi="Times New Roman" w:eastAsia="方正仿宋_GBK" w:cs="Times New Roman"/>
          <w:sz w:val="32"/>
          <w:szCs w:val="22"/>
        </w:rPr>
        <w:t>引导外贸出口企业往整机装备、集成电路、医疗器械等高技术、高附加值产品发展，鼓励中小企业“</w:t>
      </w:r>
      <w:bookmarkStart w:id="126" w:name="_Hlk62148770"/>
      <w:r>
        <w:rPr>
          <w:rFonts w:hint="eastAsia" w:ascii="Times New Roman" w:hAnsi="Times New Roman" w:eastAsia="方正仿宋_GBK" w:cs="Times New Roman"/>
          <w:sz w:val="32"/>
          <w:szCs w:val="22"/>
        </w:rPr>
        <w:t>抱团出海</w:t>
      </w:r>
      <w:bookmarkEnd w:id="126"/>
      <w:r>
        <w:rPr>
          <w:rFonts w:hint="eastAsia" w:ascii="Times New Roman" w:hAnsi="Times New Roman" w:eastAsia="方正仿宋_GBK" w:cs="Times New Roman"/>
          <w:sz w:val="32"/>
          <w:szCs w:val="22"/>
        </w:rPr>
        <w:t>”。加强出口产品质量检测，鼓励新区企业采用国际标准和国外先进标准开展生产和质量检验。</w:t>
      </w:r>
    </w:p>
    <w:p>
      <w:pPr>
        <w:adjustRightInd w:val="0"/>
        <w:snapToGrid w:val="0"/>
        <w:spacing w:line="600" w:lineRule="exact"/>
        <w:ind w:firstLine="643" w:firstLineChars="200"/>
        <w:rPr>
          <w:rFonts w:ascii="Times New Roman" w:hAnsi="Times New Roman" w:eastAsia="方正仿宋_GBK" w:cs="Times New Roman"/>
          <w:b/>
          <w:bCs/>
          <w:sz w:val="32"/>
          <w:szCs w:val="22"/>
        </w:rPr>
      </w:pPr>
      <w:r>
        <w:rPr>
          <w:rFonts w:hint="eastAsia" w:ascii="Times New Roman" w:hAnsi="Times New Roman" w:eastAsia="方正仿宋_GBK" w:cs="Times New Roman"/>
          <w:b/>
          <w:bCs/>
          <w:sz w:val="32"/>
          <w:szCs w:val="22"/>
        </w:rPr>
        <w:t>培育外贸新业态。</w:t>
      </w:r>
      <w:r>
        <w:rPr>
          <w:rFonts w:hint="eastAsia" w:ascii="Times New Roman" w:hAnsi="Times New Roman" w:eastAsia="方正仿宋_GBK" w:cs="Times New Roman"/>
          <w:sz w:val="32"/>
          <w:szCs w:val="22"/>
        </w:rPr>
        <w:t>把握国际市场动向和需求特点，有序组织和鼓励企业通过</w:t>
      </w:r>
      <w:bookmarkStart w:id="127" w:name="_Hlk62148860"/>
      <w:r>
        <w:rPr>
          <w:rFonts w:hint="eastAsia" w:ascii="Times New Roman" w:hAnsi="Times New Roman" w:eastAsia="方正仿宋_GBK" w:cs="Times New Roman"/>
          <w:sz w:val="32"/>
          <w:szCs w:val="22"/>
        </w:rPr>
        <w:t>“广交会”“进博会”</w:t>
      </w:r>
      <w:bookmarkEnd w:id="127"/>
      <w:r>
        <w:rPr>
          <w:rFonts w:hint="eastAsia" w:ascii="Times New Roman" w:hAnsi="Times New Roman" w:eastAsia="方正仿宋_GBK" w:cs="Times New Roman"/>
          <w:sz w:val="32"/>
          <w:szCs w:val="22"/>
        </w:rPr>
        <w:t>等平台抢抓订单、拓展市场，推动市场采购贸易、服务贸易等新业态加快发展。加快培育跨境电商、保税物流、市场采购、融资租赁等外贸新业态。引导外贸出口企业建设海外仓。加快培育外贸综合服务企业，引导落实外贸综合服务企业出口货物退</w:t>
      </w:r>
      <w:r>
        <w:rPr>
          <w:rFonts w:ascii="Times New Roman" w:hAnsi="Times New Roman" w:eastAsia="方正仿宋_GBK" w:cs="Times New Roman"/>
          <w:sz w:val="32"/>
          <w:szCs w:val="22"/>
        </w:rPr>
        <w:t>(免)税</w:t>
      </w:r>
      <w:r>
        <w:rPr>
          <w:rFonts w:hint="eastAsia" w:ascii="Times New Roman" w:hAnsi="Times New Roman" w:eastAsia="方正仿宋_GBK" w:cs="Times New Roman"/>
          <w:sz w:val="32"/>
          <w:szCs w:val="22"/>
        </w:rPr>
        <w:t>工作。加快发展对外文化贸易、服务外包、数字贸易等新兴服务贸易。</w:t>
      </w:r>
    </w:p>
    <w:p>
      <w:pPr>
        <w:adjustRightInd w:val="0"/>
        <w:snapToGrid w:val="0"/>
        <w:spacing w:line="600" w:lineRule="exact"/>
        <w:ind w:firstLine="643" w:firstLineChars="200"/>
        <w:rPr>
          <w:rFonts w:ascii="Times New Roman" w:hAnsi="Times New Roman" w:eastAsia="方正仿宋_GBK" w:cs="Times New Roman"/>
          <w:b/>
          <w:bCs/>
          <w:sz w:val="32"/>
          <w:szCs w:val="22"/>
        </w:rPr>
      </w:pPr>
      <w:r>
        <w:rPr>
          <w:rFonts w:hint="eastAsia" w:ascii="Times New Roman" w:hAnsi="Times New Roman" w:eastAsia="方正仿宋_GBK" w:cs="Times New Roman"/>
          <w:b/>
          <w:bCs/>
          <w:sz w:val="32"/>
          <w:szCs w:val="22"/>
        </w:rPr>
        <w:t>积极开拓新兴市场。</w:t>
      </w:r>
      <w:r>
        <w:rPr>
          <w:rFonts w:hint="eastAsia" w:ascii="Times New Roman" w:hAnsi="Times New Roman" w:eastAsia="方正仿宋_GBK" w:cs="Times New Roman"/>
          <w:sz w:val="32"/>
          <w:szCs w:val="22"/>
        </w:rPr>
        <w:t>引导外贸出口企业利用线上展会、电商平台等渠道开展线上推介、在线洽谈和线上签约等，积极开拓国际市场。促进外贸出口产品转内销，加大内销支持力度，支持适销对路的出口产品开拓国内市场，简化内销认证和办税程序。抓好应对疫情稳外贸相关政策举措落实落地，加强政策宣传和引导，切实降低外贸企业产品内销成本。进一步扩大内外销产品“</w:t>
      </w:r>
      <w:bookmarkStart w:id="128" w:name="_Hlk62148790"/>
      <w:r>
        <w:rPr>
          <w:rFonts w:hint="eastAsia" w:ascii="Times New Roman" w:hAnsi="Times New Roman" w:eastAsia="方正仿宋_GBK" w:cs="Times New Roman"/>
          <w:sz w:val="32"/>
          <w:szCs w:val="22"/>
        </w:rPr>
        <w:t>同线同标同质</w:t>
      </w:r>
      <w:bookmarkEnd w:id="128"/>
      <w:r>
        <w:rPr>
          <w:rFonts w:hint="eastAsia" w:ascii="Times New Roman" w:hAnsi="Times New Roman" w:eastAsia="方正仿宋_GBK" w:cs="Times New Roman"/>
          <w:sz w:val="32"/>
          <w:szCs w:val="22"/>
        </w:rPr>
        <w:t>”实施范围，加快完善“同线同标同质”公共信息服务。加大对</w:t>
      </w:r>
      <w:bookmarkStart w:id="129" w:name="_Hlk62148875"/>
      <w:r>
        <w:rPr>
          <w:rFonts w:hint="eastAsia" w:ascii="Times New Roman" w:hAnsi="Times New Roman" w:eastAsia="方正仿宋_GBK" w:cs="Times New Roman"/>
          <w:sz w:val="32"/>
          <w:szCs w:val="22"/>
        </w:rPr>
        <w:t>一带一路</w:t>
      </w:r>
      <w:bookmarkEnd w:id="129"/>
      <w:r>
        <w:rPr>
          <w:rFonts w:hint="eastAsia" w:ascii="Times New Roman" w:hAnsi="Times New Roman" w:eastAsia="方正仿宋_GBK" w:cs="Times New Roman"/>
          <w:sz w:val="32"/>
          <w:szCs w:val="22"/>
        </w:rPr>
        <w:t>国家等重点市场宣传推介力度，及时跟进市场动态并发布市场信息。</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130" w:name="_Toc61279529"/>
      <w:bookmarkStart w:id="131" w:name="_Toc67502340"/>
      <w:bookmarkStart w:id="132" w:name="_Toc59798207"/>
      <w:r>
        <w:rPr>
          <w:rFonts w:hint="eastAsia" w:ascii="Times New Roman" w:hAnsi="Times New Roman" w:eastAsia="方正楷体_GBK" w:cs="Times New Roman"/>
          <w:kern w:val="0"/>
          <w:sz w:val="32"/>
          <w:szCs w:val="32"/>
        </w:rPr>
        <w:t>第四节 完善促进国内国际双循环的体制机制</w:t>
      </w:r>
      <w:bookmarkEnd w:id="130"/>
      <w:bookmarkEnd w:id="131"/>
      <w:bookmarkEnd w:id="132"/>
    </w:p>
    <w:p>
      <w:pPr>
        <w:adjustRightInd w:val="0"/>
        <w:snapToGrid w:val="0"/>
        <w:spacing w:line="60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加快完善科技和产业创新体制机制，推进落实专利法、商标法、著作权法、反垄断法、科学技术进步法等相关法律，加强知识产权保护，促进产业发展、经济循环。加快构建更完善的要素市场化配置体制机制，推动现代化市场体系建设。适时出台有力政策，推动新区经济融入国内国际双循环中，减少不必要的限制措施，切实为经济要素循环流动营造良好的外部环境。进一步扩大市场准入，完善外商投资准入前国民待遇加负面清单管理制度，创造更加公平的市场环境，在更高水平上引进外资。健全公平竞争审查机制，严厉杜绝垄断和不正当竞争现象。健全工资合理增长机制，多渠道增加城乡居民财产性收入，加快完善多层次社会保障制度体系，最大程度为居民减支增收。</w:t>
      </w:r>
    </w:p>
    <w:p>
      <w:pPr>
        <w:keepNext/>
        <w:keepLines/>
        <w:adjustRightInd w:val="0"/>
        <w:snapToGrid w:val="0"/>
        <w:spacing w:before="156" w:beforeLines="50" w:after="156" w:afterLines="50" w:line="600" w:lineRule="exact"/>
        <w:jc w:val="center"/>
        <w:outlineLvl w:val="0"/>
        <w:rPr>
          <w:rFonts w:ascii="Times New Roman" w:hAnsi="Times New Roman" w:eastAsia="方正黑体_GBK" w:cs="Times New Roman"/>
          <w:bCs/>
          <w:kern w:val="44"/>
          <w:sz w:val="32"/>
          <w:szCs w:val="32"/>
          <w:lang w:val="zh-CN"/>
        </w:rPr>
      </w:pPr>
      <w:bookmarkStart w:id="133" w:name="_Toc59798208"/>
      <w:r>
        <w:rPr>
          <w:rFonts w:ascii="Times New Roman" w:hAnsi="Times New Roman" w:eastAsia="方正黑体_GBK" w:cs="Times New Roman"/>
          <w:bCs/>
          <w:kern w:val="44"/>
          <w:sz w:val="32"/>
          <w:szCs w:val="32"/>
          <w:lang w:val="zh-CN"/>
        </w:rPr>
        <w:br w:type="page"/>
      </w:r>
      <w:bookmarkStart w:id="134" w:name="_Toc61279530"/>
      <w:bookmarkStart w:id="135" w:name="_Toc67502341"/>
      <w:r>
        <w:rPr>
          <w:rFonts w:hint="eastAsia" w:ascii="Times New Roman" w:hAnsi="Times New Roman" w:eastAsia="方正黑体_GBK" w:cs="Times New Roman"/>
          <w:bCs/>
          <w:kern w:val="44"/>
          <w:sz w:val="32"/>
          <w:szCs w:val="32"/>
          <w:lang w:val="zh-CN"/>
        </w:rPr>
        <w:t>第七章 建设现代化基础设施体系，打造枢纽门户平台</w:t>
      </w:r>
      <w:bookmarkEnd w:id="133"/>
      <w:bookmarkEnd w:id="134"/>
      <w:bookmarkEnd w:id="135"/>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遵循先进城市规划建设理念，统筹增量和存量、传统和新型基础设施发展，优化基础设施空间布局，推动交通能源、重大水利、市政民生、人工智能、数据中心等基础设施建设，构建集约高效、智能绿色、安全可靠的现代化基础设施体系。</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136" w:name="_Toc59798209"/>
      <w:bookmarkStart w:id="137" w:name="_Toc67502342"/>
      <w:bookmarkStart w:id="138" w:name="_Toc61279531"/>
      <w:r>
        <w:rPr>
          <w:rFonts w:hint="eastAsia" w:ascii="Times New Roman" w:hAnsi="Times New Roman" w:eastAsia="方正楷体_GBK" w:cs="Times New Roman"/>
          <w:kern w:val="0"/>
          <w:sz w:val="32"/>
          <w:szCs w:val="32"/>
        </w:rPr>
        <w:t>第一节 构筑现代化综合交通体系</w:t>
      </w:r>
      <w:bookmarkEnd w:id="136"/>
      <w:bookmarkEnd w:id="137"/>
      <w:bookmarkEnd w:id="138"/>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加快构建“空铁公水”四位一体、高度融合的现代综合交通运输体系。加快高铁新城重要综合交通枢纽建设。推动赣深高铁实现通车，高标准建设高铁河源东站，谋划建设广河城际铁路，加快融入粤港澳大湾区城际轨道交通网。加速河源通用机场的选址建设工作，实现支线运输机场的建设运营、物流、租赁等业务，配合完善省市机场网络布局。加快东江航道古竹港区码头规划建设，加快完善内河航道，建立与疏港铁路、公路对接的集疏运网络，实现水陆联运、江海联运。加快完善公路网络建设，谋划推动建设河惠汕高速，加强区域公路互联互通，完善城市起步区道路建设，推进建设江东新区与中心城区重大功能片区连接通道，完善城区之间及城市片区内部交通路网，加快推进国省道、县乡公路和交通枢纽等交通基础设施改造升级，加快河源东站汽车客运站建设，重点推进东环路、临古路升级改造工程，全面实施农村公路“</w:t>
      </w:r>
      <w:bookmarkStart w:id="139" w:name="_Hlk62148917"/>
      <w:r>
        <w:rPr>
          <w:rFonts w:hint="eastAsia" w:ascii="Times New Roman" w:hAnsi="Times New Roman" w:eastAsia="方正仿宋_GBK" w:cs="Times New Roman"/>
          <w:sz w:val="32"/>
          <w:szCs w:val="22"/>
        </w:rPr>
        <w:t>路长制</w:t>
      </w:r>
      <w:bookmarkEnd w:id="139"/>
      <w:r>
        <w:rPr>
          <w:rFonts w:hint="eastAsia" w:ascii="Times New Roman" w:hAnsi="Times New Roman" w:eastAsia="方正仿宋_GBK" w:cs="Times New Roman"/>
          <w:sz w:val="32"/>
          <w:szCs w:val="22"/>
        </w:rPr>
        <w:t>”。推进“四好农村路”建设工程，实施农村道路畅通工程。</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jc w:val="center"/>
              <w:rPr>
                <w:rFonts w:ascii="Times New Roman" w:hAnsi="Times New Roman" w:eastAsia="方正仿宋_GBK" w:cs="Times New Roman"/>
                <w:b/>
                <w:bCs/>
                <w:sz w:val="32"/>
                <w:szCs w:val="22"/>
              </w:rPr>
            </w:pPr>
            <w:bookmarkStart w:id="140" w:name="_Toc59798210"/>
            <w:r>
              <w:rPr>
                <w:rFonts w:hint="eastAsia" w:ascii="Times New Roman" w:hAnsi="Times New Roman" w:eastAsia="方正仿宋_GBK" w:cs="Times New Roman"/>
                <w:b/>
                <w:bCs/>
                <w:sz w:val="28"/>
                <w:szCs w:val="21"/>
              </w:rPr>
              <w:t xml:space="preserve">专栏3 </w:t>
            </w:r>
            <w:r>
              <w:rPr>
                <w:rFonts w:ascii="Times New Roman" w:hAnsi="Times New Roman" w:eastAsia="方正仿宋_GBK" w:cs="Times New Roman"/>
                <w:b/>
                <w:bCs/>
                <w:sz w:val="28"/>
                <w:szCs w:val="21"/>
              </w:rPr>
              <w:t xml:space="preserve"> </w:t>
            </w:r>
            <w:r>
              <w:rPr>
                <w:rFonts w:hint="eastAsia" w:ascii="Times New Roman" w:hAnsi="Times New Roman" w:eastAsia="方正仿宋_GBK" w:cs="Times New Roman"/>
                <w:b/>
                <w:bCs/>
                <w:sz w:val="28"/>
                <w:szCs w:val="21"/>
              </w:rPr>
              <w:t>综合交通体系建设重点工程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铁路交通：</w:t>
            </w:r>
            <w:r>
              <w:rPr>
                <w:rFonts w:hint="eastAsia" w:ascii="Times New Roman" w:hAnsi="Times New Roman" w:eastAsia="方正仿宋_GBK" w:cs="Times New Roman"/>
                <w:sz w:val="24"/>
              </w:rPr>
              <w:t>赣深高铁；广河客专；河源至揭阳高铁；深河城际高铁；深惠城际延伸至河源。</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高速公路：</w:t>
            </w:r>
            <w:r>
              <w:rPr>
                <w:rFonts w:hint="eastAsia" w:ascii="Times New Roman" w:hAnsi="Times New Roman" w:eastAsia="方正仿宋_GBK" w:cs="Times New Roman"/>
                <w:sz w:val="24"/>
              </w:rPr>
              <w:t>河惠汕高速；广紫高速；深河高速。</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国道：</w:t>
            </w:r>
            <w:r>
              <w:rPr>
                <w:rFonts w:hint="eastAsia" w:ascii="Times New Roman" w:hAnsi="Times New Roman" w:eastAsia="方正仿宋_GBK" w:cs="Times New Roman"/>
                <w:sz w:val="24"/>
              </w:rPr>
              <w:t>国道</w:t>
            </w:r>
            <w:r>
              <w:rPr>
                <w:rFonts w:ascii="Times New Roman" w:hAnsi="Times New Roman" w:eastAsia="方正仿宋_GBK" w:cs="Times New Roman"/>
                <w:sz w:val="24"/>
              </w:rPr>
              <w:t>G205线热水至埔前段改线工程配套市政工程（江东新区段）；国道G355线塘排村至高望段升级改造工程。</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省道：</w:t>
            </w:r>
            <w:r>
              <w:rPr>
                <w:rFonts w:ascii="Times New Roman" w:hAnsi="Times New Roman" w:eastAsia="方正仿宋_GBK" w:cs="Times New Roman"/>
                <w:sz w:val="24"/>
              </w:rPr>
              <w:t>省道S230线江东新区临江镇至古竹镇段路面改造工程；</w:t>
            </w:r>
            <w:r>
              <w:rPr>
                <w:rFonts w:hint="eastAsia" w:ascii="Times New Roman" w:hAnsi="Times New Roman" w:eastAsia="方正仿宋_GBK" w:cs="Times New Roman"/>
                <w:sz w:val="24"/>
              </w:rPr>
              <w:t>省道</w:t>
            </w:r>
            <w:r>
              <w:rPr>
                <w:rFonts w:ascii="Times New Roman" w:hAnsi="Times New Roman" w:eastAsia="方正仿宋_GBK" w:cs="Times New Roman"/>
                <w:sz w:val="24"/>
              </w:rPr>
              <w:t>S230线（东环路）升级改造工程；</w:t>
            </w:r>
            <w:r>
              <w:rPr>
                <w:rFonts w:hint="eastAsia" w:ascii="Times New Roman" w:hAnsi="Times New Roman" w:eastAsia="方正仿宋_GBK" w:cs="Times New Roman"/>
                <w:sz w:val="24"/>
              </w:rPr>
              <w:t>省道</w:t>
            </w:r>
            <w:r>
              <w:rPr>
                <w:rFonts w:ascii="Times New Roman" w:hAnsi="Times New Roman" w:eastAsia="方正仿宋_GBK" w:cs="Times New Roman"/>
                <w:sz w:val="24"/>
              </w:rPr>
              <w:t>S514线（临古大道）升级改造工程；省道S340线（含古竹东江大桥重建）升级改造工程</w:t>
            </w:r>
            <w:r>
              <w:rPr>
                <w:rFonts w:hint="eastAsia" w:ascii="Times New Roman" w:hAnsi="Times New Roman" w:eastAsia="方正仿宋_GBK" w:cs="Times New Roman"/>
                <w:sz w:val="24"/>
              </w:rPr>
              <w:t>；</w:t>
            </w:r>
            <w:r>
              <w:rPr>
                <w:rFonts w:ascii="Times New Roman" w:hAnsi="Times New Roman" w:eastAsia="方正仿宋_GBK" w:cs="Times New Roman"/>
                <w:sz w:val="24"/>
              </w:rPr>
              <w:t>省道S230线江东新区古竹镇四维村至雁头村段旅游公路建设工程。</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城市道路：</w:t>
            </w:r>
            <w:r>
              <w:rPr>
                <w:rFonts w:hint="eastAsia" w:ascii="Times New Roman" w:hAnsi="Times New Roman" w:eastAsia="方正仿宋_GBK" w:cs="Times New Roman"/>
                <w:sz w:val="24"/>
              </w:rPr>
              <w:t>河源江东新区大坑片区场地平整及部分市政道路工程建设项目；河源江东新区紫金桥头片区综合开发（部分工程）项目；河源江东新区紫金桥北综合开发（部分工程）项目；江东新区高铁新城二区综合开发（部分基础设施工程）项目；江东新区临古大道（雁头至四维段）；江东新区东江东路（</w:t>
            </w:r>
            <w:r>
              <w:rPr>
                <w:rFonts w:ascii="Times New Roman" w:hAnsi="Times New Roman" w:eastAsia="方正仿宋_GBK" w:cs="Times New Roman"/>
                <w:sz w:val="24"/>
              </w:rPr>
              <w:t>D路至面粉厂）；江东新区古竹镇紫古大道及竹港大道道路提质升级项目；江东新区东环路升级改造工程；江东新区东环路（河职院及高级中学）人行天桥建设项目</w:t>
            </w:r>
            <w:r>
              <w:rPr>
                <w:rFonts w:hint="eastAsia" w:ascii="Times New Roman" w:hAnsi="Times New Roman" w:eastAsia="方正仿宋_GBK" w:cs="Times New Roman"/>
                <w:sz w:val="24"/>
              </w:rPr>
              <w:t>；江东新区建设大道人行天桥项目；江东新区高铁新城一区综合开发（部分工程）；东环路东面</w:t>
            </w:r>
            <w:r>
              <w:rPr>
                <w:rFonts w:ascii="Times New Roman" w:hAnsi="Times New Roman" w:eastAsia="方正仿宋_GBK" w:cs="Times New Roman"/>
                <w:sz w:val="24"/>
              </w:rPr>
              <w:t>5号地块场地平整工程</w:t>
            </w:r>
            <w:r>
              <w:rPr>
                <w:rFonts w:hint="eastAsia" w:ascii="Times New Roman" w:hAnsi="Times New Roman" w:eastAsia="方正仿宋_GBK" w:cs="Times New Roman"/>
                <w:sz w:val="24"/>
              </w:rPr>
              <w:t>。</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“四好农村路”：</w:t>
            </w:r>
            <w:r>
              <w:rPr>
                <w:rFonts w:ascii="Times New Roman" w:hAnsi="Times New Roman" w:eastAsia="方正仿宋_GBK" w:cs="Times New Roman"/>
                <w:sz w:val="24"/>
              </w:rPr>
              <w:t>Y009河汕线升级改造工程；X168线高望至古竹段升级改造工程；Y005和临线升级改造工程；Y309线榴坑至古竹段升级改造工程</w:t>
            </w:r>
            <w:r>
              <w:rPr>
                <w:rFonts w:hint="eastAsia" w:ascii="Times New Roman" w:hAnsi="Times New Roman" w:eastAsia="方正仿宋_GBK" w:cs="Times New Roman"/>
                <w:sz w:val="24"/>
              </w:rPr>
              <w:t>；古竹镇留洞村及雅色村乡道提质改造工程；江东新区自然村道硬底化改造工程；江东新区</w:t>
            </w:r>
            <w:r>
              <w:rPr>
                <w:rFonts w:ascii="Times New Roman" w:hAnsi="Times New Roman" w:eastAsia="方正仿宋_GBK" w:cs="Times New Roman"/>
                <w:sz w:val="24"/>
              </w:rPr>
              <w:t>Y305线古竹至江口段路面改线工程；江东新区Y339线义容至小禾坑路面拓宽改造工程；古竹东江大桥。</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民航机场项目：</w:t>
            </w:r>
            <w:r>
              <w:rPr>
                <w:rFonts w:hint="eastAsia" w:ascii="Times New Roman" w:hAnsi="Times New Roman" w:eastAsia="方正仿宋_GBK" w:cs="Times New Roman"/>
                <w:sz w:val="24"/>
              </w:rPr>
              <w:t>河源江东新区航空产业基地一期项目。</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码头项目：</w:t>
            </w:r>
            <w:r>
              <w:rPr>
                <w:rFonts w:hint="eastAsia" w:ascii="Times New Roman" w:hAnsi="Times New Roman" w:eastAsia="方正仿宋_GBK" w:cs="Times New Roman"/>
                <w:sz w:val="24"/>
              </w:rPr>
              <w:t>河源港古竹码头。</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综合客运枢纽：</w:t>
            </w:r>
            <w:r>
              <w:rPr>
                <w:rFonts w:hint="eastAsia" w:ascii="Times New Roman" w:hAnsi="Times New Roman" w:eastAsia="方正仿宋_GBK" w:cs="Times New Roman"/>
                <w:sz w:val="24"/>
              </w:rPr>
              <w:t>河源市高铁新城河源东站综合交通枢纽项目；古竹综合客运枢纽。</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综合货运枢纽：</w:t>
            </w:r>
            <w:r>
              <w:rPr>
                <w:rFonts w:hint="eastAsia" w:ascii="Times New Roman" w:hAnsi="Times New Roman" w:eastAsia="方正仿宋_GBK" w:cs="Times New Roman"/>
                <w:sz w:val="24"/>
              </w:rPr>
              <w:t>江东新区综合物流园；深河合作区货运枢纽。</w:t>
            </w:r>
          </w:p>
        </w:tc>
      </w:tr>
    </w:tbl>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141" w:name="_Toc67502343"/>
      <w:bookmarkStart w:id="142" w:name="_Toc61279532"/>
      <w:r>
        <w:rPr>
          <w:rFonts w:hint="eastAsia" w:ascii="Times New Roman" w:hAnsi="Times New Roman" w:eastAsia="方正楷体_GBK" w:cs="Times New Roman"/>
          <w:kern w:val="0"/>
          <w:sz w:val="32"/>
          <w:szCs w:val="32"/>
        </w:rPr>
        <w:t>第二节 完善新区市政基础设施</w:t>
      </w:r>
      <w:bookmarkEnd w:id="140"/>
      <w:bookmarkEnd w:id="141"/>
      <w:bookmarkEnd w:id="142"/>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推动实施东江东岸防洪工程、供水供电、城镇污水处理、城市消防站、市政消火栓、取水码头等一批城市基础建设，统筹推进市政建设和“三旧”改造。完善市政道路建设，大力推进东江东路南段、东环路改造、人行天桥等工程建设。加快提升居民住房环境，加快推进城市起步区棚户区改造、高铁新城村民安置点、新区产业园区</w:t>
      </w:r>
      <w:r>
        <w:rPr>
          <w:rFonts w:ascii="Times New Roman" w:hAnsi="Times New Roman" w:eastAsia="方正仿宋_GBK" w:cs="Times New Roman"/>
          <w:sz w:val="32"/>
          <w:szCs w:val="22"/>
        </w:rPr>
        <w:t>棚户区改造</w:t>
      </w:r>
      <w:r>
        <w:rPr>
          <w:rFonts w:hint="eastAsia" w:ascii="Times New Roman" w:hAnsi="Times New Roman" w:eastAsia="方正仿宋_GBK" w:cs="Times New Roman"/>
          <w:sz w:val="32"/>
          <w:szCs w:val="22"/>
        </w:rPr>
        <w:t>等工程建设。加快完善城乡供电、供气等居民生活基础设施，推进地下综合管廊建设。</w:t>
      </w:r>
      <w:r>
        <w:rPr>
          <w:rFonts w:ascii="Times New Roman" w:hAnsi="Times New Roman" w:eastAsia="方正仿宋_GBK" w:cs="Times New Roman"/>
          <w:sz w:val="32"/>
          <w:szCs w:val="22"/>
        </w:rPr>
        <w:t>建设安全高效的供水格局，加强城市排水暗道、排</w:t>
      </w:r>
      <w:r>
        <w:rPr>
          <w:rFonts w:hint="eastAsia" w:ascii="Times New Roman" w:hAnsi="Times New Roman" w:eastAsia="方正仿宋_GBK" w:cs="Times New Roman"/>
          <w:sz w:val="32"/>
          <w:szCs w:val="22"/>
        </w:rPr>
        <w:t>涝渠、城市起步区污水处理厂等工程建设，构建绿色安全的雨水排放系统。重点推进高铁新城以及产业园消防站、桂林变电站等基础设施建设，完成面上村污水处理设施建设，完成古竹镇圩镇污水管网工程，加快古竹污水处理厂、产业园北片区污水处理厂和配套管网等环保基础设施建设，提高城乡生活污水收集处理率。</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143" w:name="_Toc61279533"/>
      <w:bookmarkStart w:id="144" w:name="_Toc67502344"/>
      <w:bookmarkStart w:id="145" w:name="_Toc59798211"/>
      <w:r>
        <w:rPr>
          <w:rFonts w:hint="eastAsia" w:ascii="Times New Roman" w:hAnsi="Times New Roman" w:eastAsia="方正楷体_GBK" w:cs="Times New Roman"/>
          <w:kern w:val="0"/>
          <w:sz w:val="32"/>
          <w:szCs w:val="32"/>
        </w:rPr>
        <w:t>第三节 加快推进新型基础设施建设</w:t>
      </w:r>
      <w:bookmarkEnd w:id="143"/>
      <w:bookmarkEnd w:id="144"/>
      <w:bookmarkEnd w:id="145"/>
    </w:p>
    <w:p>
      <w:pPr>
        <w:adjustRightInd w:val="0"/>
        <w:snapToGrid w:val="0"/>
        <w:spacing w:line="60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积极推进江东新区国家智慧城市试点，加快江东新区智慧城市二期项目建设。推进“三网融合、光纤入户”，加快通信系统向智慧方向转变，高标准、集约化建设通信设施。规划建设核心机楼，配套建设云计算中心，确保高效通信。深化与电信运营商的合作，加快新一代信息基础设施建设，提升</w:t>
      </w:r>
      <w:r>
        <w:rPr>
          <w:rFonts w:ascii="Times New Roman" w:hAnsi="Times New Roman" w:eastAsia="方正仿宋_GBK" w:cs="Times New Roman"/>
          <w:sz w:val="32"/>
          <w:szCs w:val="22"/>
        </w:rPr>
        <w:t>4G网络覆盖深度，在</w:t>
      </w:r>
      <w:r>
        <w:rPr>
          <w:rFonts w:hint="eastAsia" w:ascii="Times New Roman" w:hAnsi="Times New Roman" w:eastAsia="方正仿宋_GBK" w:cs="Times New Roman"/>
          <w:sz w:val="32"/>
          <w:szCs w:val="22"/>
        </w:rPr>
        <w:t>新区</w:t>
      </w:r>
      <w:r>
        <w:rPr>
          <w:rFonts w:ascii="Times New Roman" w:hAnsi="Times New Roman" w:eastAsia="方正仿宋_GBK" w:cs="Times New Roman"/>
          <w:sz w:val="32"/>
          <w:szCs w:val="22"/>
        </w:rPr>
        <w:t>核心区域和重点区域率先布局5G网络，不断提升和完善网络基础设施，形成以</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宽带、无线、泛在、融合</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特征的一体化网络，</w:t>
      </w:r>
      <w:r>
        <w:rPr>
          <w:rFonts w:hint="eastAsia" w:ascii="Times New Roman" w:hAnsi="Times New Roman" w:eastAsia="方正仿宋_GBK" w:cs="Times New Roman"/>
          <w:sz w:val="32"/>
          <w:szCs w:val="22"/>
        </w:rPr>
        <w:t>整合</w:t>
      </w:r>
      <w:r>
        <w:rPr>
          <w:rFonts w:ascii="Times New Roman" w:hAnsi="Times New Roman" w:eastAsia="方正仿宋_GBK" w:cs="Times New Roman"/>
          <w:sz w:val="32"/>
          <w:szCs w:val="22"/>
        </w:rPr>
        <w:t>网络设施、城市公共基础数据库、城市公共信息平台等基础设施，为</w:t>
      </w:r>
      <w:r>
        <w:rPr>
          <w:rFonts w:hint="eastAsia" w:ascii="Times New Roman" w:hAnsi="Times New Roman" w:eastAsia="方正仿宋_GBK" w:cs="Times New Roman"/>
          <w:sz w:val="32"/>
          <w:szCs w:val="22"/>
        </w:rPr>
        <w:t>智慧江东建设提供基础保障服务。落实《数字乡村发展战略纲要》，完善农村信息化基础设施，推进数字乡村建设。积极推广工业互联网等数字化手段在高端装备制造产业、新材料产业的应用，持续推动企业“上云上平台”。</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146" w:name="_Toc61279534"/>
      <w:bookmarkStart w:id="147" w:name="_Toc59798212"/>
      <w:bookmarkStart w:id="148" w:name="_Toc67502345"/>
      <w:r>
        <w:rPr>
          <w:rFonts w:hint="eastAsia" w:ascii="Times New Roman" w:hAnsi="Times New Roman" w:eastAsia="方正楷体_GBK" w:cs="Times New Roman"/>
          <w:kern w:val="0"/>
          <w:sz w:val="32"/>
          <w:szCs w:val="32"/>
        </w:rPr>
        <w:t>第四节 加快推动能源水利基础设施建设</w:t>
      </w:r>
      <w:bookmarkEnd w:id="146"/>
      <w:bookmarkEnd w:id="147"/>
      <w:bookmarkEnd w:id="148"/>
    </w:p>
    <w:p>
      <w:pPr>
        <w:adjustRightInd w:val="0"/>
        <w:snapToGrid w:val="0"/>
        <w:spacing w:line="60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加快补齐能源发展短板。打造基于物联网的能源大数据管理系统，联通风电、水电、生物质发电等能源设施项目，统筹安排能源分配。加快电网及其配套设施建设，重点推进</w:t>
      </w:r>
      <w:r>
        <w:rPr>
          <w:rFonts w:ascii="Times New Roman" w:hAnsi="Times New Roman" w:eastAsia="方正仿宋_GBK" w:cs="Times New Roman"/>
          <w:sz w:val="32"/>
          <w:szCs w:val="22"/>
        </w:rPr>
        <w:t>220千伏江东变电站建设，新增建设110千伏变电站（梧峰站、格岭站、江口站、高望站）及相应配电网</w:t>
      </w:r>
      <w:r>
        <w:rPr>
          <w:rFonts w:hint="eastAsia" w:ascii="Times New Roman" w:hAnsi="Times New Roman" w:eastAsia="方正仿宋_GBK" w:cs="Times New Roman"/>
          <w:sz w:val="32"/>
          <w:szCs w:val="22"/>
        </w:rPr>
        <w:t>，积极构建电动汽车充电设施网络</w:t>
      </w:r>
      <w:r>
        <w:rPr>
          <w:rFonts w:ascii="Times New Roman" w:hAnsi="Times New Roman" w:eastAsia="方正仿宋_GBK" w:cs="Times New Roman"/>
          <w:sz w:val="32"/>
          <w:szCs w:val="22"/>
        </w:rPr>
        <w:t>。加速推进中压管网铺设工作，统筹推进加油站、输油管网布点规划。</w:t>
      </w:r>
      <w:r>
        <w:rPr>
          <w:rFonts w:hint="eastAsia" w:ascii="Times New Roman" w:hAnsi="Times New Roman" w:eastAsia="方正仿宋_GBK" w:cs="Times New Roman"/>
          <w:sz w:val="32"/>
          <w:szCs w:val="22"/>
        </w:rPr>
        <w:t>加快推进水利基础设施建设，实施柏埔河、义容河、禾坑水、新坑河等河流防洪达标治理，加快推进东江东岸水生态环境保护综合整治工程等水安全工程建设。加强城乡水资源保障工程建设，推进农村分散式饮用水水源地综合整治项目、城东水质净化厂建设，切实保障城乡居民用水安全。加强农村水系连通治理工程建设，持续推进农村生活污水治理、农村雨污分流改建、农田水利工程建设。做好病险水库除险加固工程。推进江东新区东江东岸碧道（胜利大桥至紫金桥段）、柏埔河碧道等工程建设，构建生态河堤。</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jc w:val="center"/>
              <w:rPr>
                <w:rFonts w:ascii="Times New Roman" w:hAnsi="Times New Roman" w:eastAsia="方正仿宋_GBK" w:cs="Times New Roman"/>
                <w:b/>
                <w:bCs/>
                <w:sz w:val="32"/>
                <w:szCs w:val="22"/>
              </w:rPr>
            </w:pPr>
            <w:bookmarkStart w:id="149" w:name="_Toc59798213"/>
            <w:r>
              <w:rPr>
                <w:rFonts w:hint="eastAsia" w:ascii="Times New Roman" w:hAnsi="Times New Roman" w:eastAsia="方正仿宋_GBK" w:cs="Times New Roman"/>
                <w:b/>
                <w:bCs/>
                <w:sz w:val="28"/>
                <w:szCs w:val="21"/>
              </w:rPr>
              <w:t xml:space="preserve">专栏4 </w:t>
            </w:r>
            <w:r>
              <w:rPr>
                <w:rFonts w:ascii="Times New Roman" w:hAnsi="Times New Roman" w:eastAsia="方正仿宋_GBK" w:cs="Times New Roman"/>
                <w:b/>
                <w:bCs/>
                <w:sz w:val="28"/>
                <w:szCs w:val="21"/>
              </w:rPr>
              <w:t xml:space="preserve"> </w:t>
            </w:r>
            <w:r>
              <w:rPr>
                <w:rFonts w:hint="eastAsia" w:ascii="Times New Roman" w:hAnsi="Times New Roman" w:eastAsia="方正仿宋_GBK" w:cs="Times New Roman"/>
                <w:b/>
                <w:bCs/>
                <w:sz w:val="28"/>
                <w:szCs w:val="21"/>
              </w:rPr>
              <w:t>能源水利基础设施建设重点工程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rPr>
                <w:rFonts w:ascii="Times New Roman" w:hAnsi="Times New Roman" w:eastAsia="方正仿宋_GBK" w:cs="Times New Roman"/>
                <w:b/>
                <w:bCs/>
                <w:sz w:val="24"/>
              </w:rPr>
            </w:pPr>
            <w:r>
              <w:rPr>
                <w:rFonts w:hint="eastAsia" w:ascii="Times New Roman" w:hAnsi="Times New Roman" w:eastAsia="方正仿宋_GBK" w:cs="Times New Roman"/>
                <w:b/>
                <w:bCs/>
                <w:sz w:val="24"/>
              </w:rPr>
              <w:t>能源设施：</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电网项目：</w:t>
            </w:r>
            <w:r>
              <w:rPr>
                <w:rFonts w:hint="eastAsia" w:ascii="Times New Roman" w:hAnsi="Times New Roman" w:eastAsia="方正仿宋_GBK" w:cs="Times New Roman"/>
                <w:sz w:val="24"/>
              </w:rPr>
              <w:t>新增</w:t>
            </w:r>
            <w:r>
              <w:rPr>
                <w:rFonts w:ascii="Times New Roman" w:hAnsi="Times New Roman" w:eastAsia="方正仿宋_GBK" w:cs="Times New Roman"/>
                <w:sz w:val="24"/>
              </w:rPr>
              <w:t>1座220千伏江东变电站</w:t>
            </w:r>
            <w:r>
              <w:rPr>
                <w:rFonts w:hint="eastAsia" w:ascii="Times New Roman" w:hAnsi="Times New Roman" w:eastAsia="方正仿宋_GBK" w:cs="Times New Roman"/>
                <w:sz w:val="24"/>
              </w:rPr>
              <w:t>；新增</w:t>
            </w:r>
            <w:r>
              <w:rPr>
                <w:rFonts w:ascii="Times New Roman" w:hAnsi="Times New Roman" w:eastAsia="方正仿宋_GBK" w:cs="Times New Roman"/>
                <w:sz w:val="24"/>
              </w:rPr>
              <w:t>4座110千伏变电站（梧峰站、格岭站、江口站、高望站）</w:t>
            </w:r>
            <w:r>
              <w:rPr>
                <w:rFonts w:hint="eastAsia" w:ascii="Times New Roman" w:hAnsi="Times New Roman" w:eastAsia="方正仿宋_GBK" w:cs="Times New Roman"/>
                <w:sz w:val="24"/>
              </w:rPr>
              <w:t>；江东新区智能电网示范工程。</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油气：</w:t>
            </w:r>
            <w:r>
              <w:rPr>
                <w:rFonts w:hint="eastAsia" w:ascii="Times New Roman" w:hAnsi="Times New Roman" w:eastAsia="方正仿宋_GBK" w:cs="Times New Roman"/>
                <w:sz w:val="24"/>
              </w:rPr>
              <w:t>河源华润管网与广东省主高压管网末站连接工程；在江东产业园建设一座</w:t>
            </w:r>
            <w:r>
              <w:rPr>
                <w:rFonts w:ascii="Times New Roman" w:hAnsi="Times New Roman" w:eastAsia="方正仿宋_GBK" w:cs="Times New Roman"/>
                <w:sz w:val="24"/>
              </w:rPr>
              <w:t>5000㎡能源综合站</w:t>
            </w:r>
            <w:r>
              <w:rPr>
                <w:rFonts w:hint="eastAsia" w:ascii="Times New Roman" w:hAnsi="Times New Roman" w:eastAsia="方正仿宋_GBK" w:cs="Times New Roman"/>
                <w:sz w:val="24"/>
              </w:rPr>
              <w:t>；在产业园、古竹各建设一座天然气综合站；在产业园片区、古竹片区、迎客大道以南高铁新城片区等铺设中压管网；建设</w:t>
            </w:r>
            <w:r>
              <w:rPr>
                <w:rFonts w:ascii="Times New Roman" w:hAnsi="Times New Roman" w:eastAsia="方正仿宋_GBK" w:cs="Times New Roman"/>
                <w:sz w:val="24"/>
              </w:rPr>
              <w:t>4座加油站</w:t>
            </w:r>
            <w:r>
              <w:rPr>
                <w:rFonts w:hint="eastAsia" w:ascii="Times New Roman" w:hAnsi="Times New Roman" w:eastAsia="方正仿宋_GBK" w:cs="Times New Roman"/>
                <w:sz w:val="24"/>
              </w:rPr>
              <w:t>。</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电动汽车充电基础设施网络：</w:t>
            </w:r>
            <w:r>
              <w:rPr>
                <w:rFonts w:hint="eastAsia" w:ascii="Times New Roman" w:hAnsi="Times New Roman" w:eastAsia="方正仿宋_GBK" w:cs="Times New Roman"/>
                <w:sz w:val="24"/>
              </w:rPr>
              <w:t>建设</w:t>
            </w:r>
            <w:r>
              <w:rPr>
                <w:rFonts w:ascii="Times New Roman" w:hAnsi="Times New Roman" w:eastAsia="方正仿宋_GBK" w:cs="Times New Roman"/>
                <w:sz w:val="24"/>
              </w:rPr>
              <w:t>4座充电站（公交车充电站、公共充电站）</w:t>
            </w:r>
            <w:r>
              <w:rPr>
                <w:rFonts w:hint="eastAsia" w:ascii="Times New Roman" w:hAnsi="Times New Roman" w:eastAsia="方正仿宋_GBK" w:cs="Times New Roman"/>
                <w:sz w:val="24"/>
              </w:rPr>
              <w:t>；建设</w:t>
            </w:r>
            <w:r>
              <w:rPr>
                <w:rFonts w:ascii="Times New Roman" w:hAnsi="Times New Roman" w:eastAsia="方正仿宋_GBK" w:cs="Times New Roman"/>
                <w:sz w:val="24"/>
              </w:rPr>
              <w:t>300个</w:t>
            </w:r>
            <w:r>
              <w:rPr>
                <w:rFonts w:hint="eastAsia" w:ascii="Times New Roman" w:hAnsi="Times New Roman" w:eastAsia="方正仿宋_GBK" w:cs="Times New Roman"/>
                <w:sz w:val="24"/>
              </w:rPr>
              <w:t>充电桩</w:t>
            </w:r>
            <w:r>
              <w:rPr>
                <w:rFonts w:ascii="Times New Roman" w:hAnsi="Times New Roman" w:eastAsia="方正仿宋_GBK" w:cs="Times New Roman"/>
                <w:sz w:val="24"/>
              </w:rPr>
              <w:t>（公共充电桩、内部专用充电桩）</w:t>
            </w:r>
            <w:r>
              <w:rPr>
                <w:rFonts w:hint="eastAsia" w:ascii="Times New Roman" w:hAnsi="Times New Roman" w:eastAsia="方正仿宋_GBK" w:cs="Times New Roman"/>
                <w:sz w:val="24"/>
              </w:rPr>
              <w:t>。</w:t>
            </w:r>
          </w:p>
          <w:p>
            <w:pPr>
              <w:adjustRightInd w:val="0"/>
              <w:snapToGrid w:val="0"/>
              <w:spacing w:line="600" w:lineRule="exact"/>
              <w:rPr>
                <w:rFonts w:ascii="Times New Roman" w:hAnsi="Times New Roman" w:eastAsia="方正仿宋_GBK" w:cs="Times New Roman"/>
                <w:b/>
                <w:bCs/>
                <w:sz w:val="24"/>
              </w:rPr>
            </w:pPr>
            <w:r>
              <w:rPr>
                <w:rFonts w:hint="eastAsia" w:ascii="Times New Roman" w:hAnsi="Times New Roman" w:eastAsia="方正仿宋_GBK" w:cs="Times New Roman"/>
                <w:b/>
                <w:bCs/>
                <w:sz w:val="24"/>
              </w:rPr>
              <w:t>水利设施：</w:t>
            </w:r>
          </w:p>
          <w:p>
            <w:pPr>
              <w:adjustRightInd w:val="0"/>
              <w:snapToGrid w:val="0"/>
              <w:spacing w:line="600" w:lineRule="exact"/>
              <w:ind w:firstLine="482" w:firstLineChars="200"/>
              <w:rPr>
                <w:rFonts w:ascii="Times New Roman" w:hAnsi="Times New Roman" w:eastAsia="方正仿宋_GBK" w:cs="Times New Roman"/>
                <w:b/>
                <w:bCs/>
                <w:sz w:val="24"/>
              </w:rPr>
            </w:pPr>
            <w:r>
              <w:rPr>
                <w:rFonts w:hint="eastAsia" w:ascii="Times New Roman" w:hAnsi="Times New Roman" w:eastAsia="方正仿宋_GBK" w:cs="Times New Roman"/>
                <w:b/>
                <w:bCs/>
                <w:sz w:val="24"/>
              </w:rPr>
              <w:t>水利防灾减灾设施：</w:t>
            </w:r>
            <w:r>
              <w:rPr>
                <w:rFonts w:hint="eastAsia" w:ascii="Times New Roman" w:hAnsi="Times New Roman" w:eastAsia="方正仿宋_GBK" w:cs="Times New Roman"/>
                <w:sz w:val="24"/>
              </w:rPr>
              <w:t>河源江东新区东江干流防洪达标工程；河源江东新区小型病险水库除险加固及标准化建设项目；江东新区中小河流秋香江治理项目；江东新区中小河流柏埔河治理项目；江东新区中小河流义容河治理项目；江东新区古竹镇中小河流黄坳水治理工程</w:t>
            </w:r>
            <w:r>
              <w:rPr>
                <w:rFonts w:ascii="Times New Roman" w:hAnsi="Times New Roman" w:eastAsia="方正仿宋_GBK" w:cs="Times New Roman"/>
                <w:sz w:val="24"/>
              </w:rPr>
              <w:t>。</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水资源保障设施：</w:t>
            </w:r>
            <w:r>
              <w:rPr>
                <w:rFonts w:hint="eastAsia" w:ascii="Times New Roman" w:hAnsi="Times New Roman" w:eastAsia="方正仿宋_GBK" w:cs="Times New Roman"/>
                <w:sz w:val="24"/>
              </w:rPr>
              <w:t>河源江东新区碧道建设项目；河源江东新区</w:t>
            </w:r>
            <w:r>
              <w:rPr>
                <w:rFonts w:ascii="Times New Roman" w:hAnsi="Times New Roman" w:eastAsia="方正仿宋_GBK" w:cs="Times New Roman"/>
                <w:sz w:val="24"/>
              </w:rPr>
              <w:t>古竹镇供水引水工程</w:t>
            </w:r>
            <w:r>
              <w:rPr>
                <w:rFonts w:hint="eastAsia" w:ascii="Times New Roman" w:hAnsi="Times New Roman" w:eastAsia="方正仿宋_GBK" w:cs="Times New Roman"/>
                <w:sz w:val="24"/>
              </w:rPr>
              <w:t>；河源江东新区创建节水型城市达标项目。</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农村水利设施：</w:t>
            </w:r>
            <w:r>
              <w:rPr>
                <w:rFonts w:hint="eastAsia" w:ascii="Times New Roman" w:hAnsi="Times New Roman" w:eastAsia="方正仿宋_GBK" w:cs="Times New Roman"/>
                <w:sz w:val="24"/>
              </w:rPr>
              <w:t>河源江东新区农村水系连通建设项目</w:t>
            </w:r>
            <w:r>
              <w:rPr>
                <w:rFonts w:ascii="Times New Roman" w:hAnsi="Times New Roman" w:eastAsia="方正仿宋_GBK" w:cs="Times New Roman"/>
                <w:sz w:val="24"/>
              </w:rPr>
              <w:t>。</w:t>
            </w:r>
          </w:p>
        </w:tc>
      </w:tr>
    </w:tbl>
    <w:p>
      <w:pPr>
        <w:keepNext/>
        <w:keepLines/>
        <w:adjustRightInd w:val="0"/>
        <w:snapToGrid w:val="0"/>
        <w:spacing w:before="156" w:beforeLines="50" w:after="156" w:afterLines="50" w:line="600" w:lineRule="exact"/>
        <w:jc w:val="center"/>
        <w:outlineLvl w:val="0"/>
        <w:rPr>
          <w:rFonts w:ascii="Times New Roman" w:hAnsi="Times New Roman" w:eastAsia="方正黑体_GBK" w:cs="Times New Roman"/>
          <w:bCs/>
          <w:kern w:val="44"/>
          <w:sz w:val="32"/>
          <w:szCs w:val="32"/>
          <w:lang w:val="zh-CN"/>
        </w:rPr>
      </w:pPr>
      <w:r>
        <w:rPr>
          <w:rFonts w:ascii="Times New Roman" w:hAnsi="Times New Roman" w:eastAsia="方正黑体_GBK" w:cs="Times New Roman"/>
          <w:bCs/>
          <w:kern w:val="44"/>
          <w:sz w:val="32"/>
          <w:szCs w:val="32"/>
          <w:lang w:val="zh-CN"/>
        </w:rPr>
        <w:br w:type="page"/>
      </w:r>
      <w:bookmarkStart w:id="150" w:name="_Toc61279535"/>
      <w:bookmarkStart w:id="151" w:name="_Toc67502346"/>
      <w:r>
        <w:rPr>
          <w:rFonts w:hint="eastAsia" w:ascii="Times New Roman" w:hAnsi="Times New Roman" w:eastAsia="方正黑体_GBK" w:cs="Times New Roman"/>
          <w:bCs/>
          <w:kern w:val="44"/>
          <w:sz w:val="32"/>
          <w:szCs w:val="32"/>
          <w:lang w:val="zh-CN"/>
        </w:rPr>
        <w:t>第八章 推动城乡融合发展，打造乡村振兴平台</w:t>
      </w:r>
      <w:bookmarkEnd w:id="149"/>
      <w:bookmarkEnd w:id="150"/>
      <w:bookmarkEnd w:id="151"/>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围绕“农业强、农村美、农民富”总目标，巩固和拓展脱贫攻坚成果，全面推进乡村振兴，加快农业农村现代化，聚力探索城郊型农村发展之路，努力做好主导产业特色化、公共服务均等化、农村环境建设生态化、乡村治理现代化、本地农民市民化“五大文章”，促进农业高质高效、乡村宜居宜业、农民富裕富足，全力打造乡村振兴标杆典范。</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152" w:name="_Toc59798214"/>
      <w:bookmarkStart w:id="153" w:name="_Toc61279536"/>
      <w:bookmarkStart w:id="154" w:name="_Toc67502347"/>
      <w:r>
        <w:rPr>
          <w:rFonts w:hint="eastAsia" w:ascii="Times New Roman" w:hAnsi="Times New Roman" w:eastAsia="方正楷体_GBK" w:cs="Times New Roman"/>
          <w:kern w:val="0"/>
          <w:sz w:val="32"/>
          <w:szCs w:val="32"/>
        </w:rPr>
        <w:t>第一节 发展富民兴村产业</w:t>
      </w:r>
      <w:bookmarkEnd w:id="152"/>
      <w:bookmarkEnd w:id="153"/>
      <w:bookmarkEnd w:id="154"/>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推动主导产业特色化。</w:t>
      </w:r>
      <w:r>
        <w:rPr>
          <w:rFonts w:hint="eastAsia" w:ascii="Times New Roman" w:hAnsi="Times New Roman" w:eastAsia="方正仿宋_GBK" w:cs="Times New Roman"/>
          <w:sz w:val="32"/>
          <w:szCs w:val="22"/>
        </w:rPr>
        <w:t>完善新区城郊村产业发展“</w:t>
      </w:r>
      <w:bookmarkStart w:id="155" w:name="_Hlk62148958"/>
      <w:r>
        <w:rPr>
          <w:rFonts w:hint="eastAsia" w:ascii="Times New Roman" w:hAnsi="Times New Roman" w:eastAsia="方正仿宋_GBK" w:cs="Times New Roman"/>
          <w:sz w:val="32"/>
          <w:szCs w:val="22"/>
        </w:rPr>
        <w:t>三大模式</w:t>
      </w:r>
      <w:bookmarkEnd w:id="155"/>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继续</w:t>
      </w:r>
      <w:r>
        <w:rPr>
          <w:rFonts w:hint="eastAsia" w:ascii="Times New Roman" w:hAnsi="Times New Roman" w:eastAsia="方正仿宋_GBK" w:cs="Times New Roman"/>
          <w:sz w:val="32"/>
          <w:szCs w:val="22"/>
        </w:rPr>
        <w:t>探索城郊型农村发展之路。积极发展精品农业，促</w:t>
      </w:r>
      <w:r>
        <w:rPr>
          <w:rFonts w:ascii="Times New Roman" w:hAnsi="Times New Roman" w:eastAsia="方正仿宋_GBK" w:cs="Times New Roman"/>
          <w:sz w:val="32"/>
          <w:szCs w:val="22"/>
        </w:rPr>
        <w:t>进特色优势产业适度集中和品质提升</w:t>
      </w:r>
      <w:r>
        <w:rPr>
          <w:rFonts w:hint="eastAsia" w:ascii="Times New Roman" w:hAnsi="Times New Roman" w:eastAsia="方正仿宋_GBK" w:cs="Times New Roman"/>
          <w:sz w:val="32"/>
          <w:szCs w:val="22"/>
        </w:rPr>
        <w:t>。促进农业产业集聚，发展“串珠成链、连片开发”的产业模式，打造“一县一园、一镇一业、一村一品”现代农业产业体系。实施园区带动战略，加快建设国家现代农业示范区、省级现代农业产业园、中草药产业示范基地、农业物流园，打造一二三产业融合发展平台载体，促进农业内部融合、延伸农业产业链、拓展农业多种功能、发展农业新型业态等多模式融合发展。强化农业种质资源开发保护利用，有序推进生物育种产业化应用，健全商业化育种体系。强化现代农业科技和物质装备支撑，深入推行科技特派员制度，提升农机装备智能化水平，探索发展智慧农业。推动农业转型升级，全面推进农业标准化生产。系统做好“六水”“六林”文章，大力发展林下经济。</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促进农业“</w:t>
      </w:r>
      <w:bookmarkStart w:id="156" w:name="_Hlk62148972"/>
      <w:r>
        <w:rPr>
          <w:rFonts w:hint="eastAsia" w:ascii="Times New Roman" w:hAnsi="Times New Roman" w:eastAsia="方正仿宋_GBK" w:cs="Times New Roman"/>
          <w:b/>
          <w:bCs/>
          <w:sz w:val="32"/>
          <w:szCs w:val="22"/>
        </w:rPr>
        <w:t>接二连三</w:t>
      </w:r>
      <w:bookmarkEnd w:id="156"/>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bCs/>
          <w:sz w:val="32"/>
          <w:szCs w:val="22"/>
        </w:rPr>
        <w:t>加快构建现代乡村产业体系，</w:t>
      </w:r>
      <w:r>
        <w:rPr>
          <w:rFonts w:hint="eastAsia" w:ascii="Times New Roman" w:hAnsi="Times New Roman" w:eastAsia="方正仿宋_GBK" w:cs="Times New Roman"/>
          <w:sz w:val="32"/>
          <w:szCs w:val="22"/>
        </w:rPr>
        <w:t>加强农村产业“接二连三”融合发展力度，重点发展农产品精深加工业和流通业，推进桂林村、前进村、年丰村研学旅游基地建设，推动休闲农业、乡村旅游、健康养生、农村电商、民宿等产业发展。加快推进农村一二三产业融合发展示范园和科技示范园区建设。积极引导农产品生产企业及个体户开展葡萄加工</w:t>
      </w:r>
      <w:r>
        <w:rPr>
          <w:rFonts w:ascii="Times New Roman" w:hAnsi="Times New Roman" w:eastAsia="方正仿宋_GBK" w:cs="Times New Roman"/>
          <w:sz w:val="32"/>
          <w:szCs w:val="22"/>
        </w:rPr>
        <w:t>、中药材加工、荔枝加工、副产物综合利用</w:t>
      </w:r>
      <w:r>
        <w:rPr>
          <w:rFonts w:hint="eastAsia" w:ascii="Times New Roman" w:hAnsi="Times New Roman" w:eastAsia="方正仿宋_GBK" w:cs="Times New Roman"/>
          <w:sz w:val="32"/>
          <w:szCs w:val="22"/>
        </w:rPr>
        <w:t>，积极引入第三方农产品冷链物流企业，加快构建集种养殖、加工、运输、销售于一体的农业经营体制。依托新区东江水资源、越王山景区、梧桐山森林公园等重点景观资源，深入挖掘当地特色农耕文化内涵，推进农业与旅游、文化、健康养生等产业深度融合。</w:t>
      </w:r>
    </w:p>
    <w:p>
      <w:pPr>
        <w:adjustRightInd w:val="0"/>
        <w:snapToGrid w:val="0"/>
        <w:spacing w:line="600" w:lineRule="exact"/>
        <w:ind w:firstLine="643" w:firstLineChars="200"/>
        <w:rPr>
          <w:rFonts w:ascii="Times New Roman" w:hAnsi="Times New Roman" w:eastAsia="方正仿宋_GBK" w:cs="Times New Roman"/>
          <w:b/>
          <w:bCs/>
          <w:sz w:val="32"/>
          <w:szCs w:val="22"/>
        </w:rPr>
      </w:pPr>
      <w:r>
        <w:rPr>
          <w:rFonts w:hint="eastAsia" w:ascii="Times New Roman" w:hAnsi="Times New Roman" w:eastAsia="方正仿宋_GBK" w:cs="Times New Roman"/>
          <w:b/>
          <w:bCs/>
          <w:sz w:val="32"/>
          <w:szCs w:val="22"/>
        </w:rPr>
        <w:t>打造特色农产品品牌。</w:t>
      </w:r>
      <w:r>
        <w:rPr>
          <w:rFonts w:hint="eastAsia" w:ascii="Times New Roman" w:hAnsi="Times New Roman" w:eastAsia="方正仿宋_GBK" w:cs="Times New Roman"/>
          <w:sz w:val="32"/>
          <w:szCs w:val="22"/>
        </w:rPr>
        <w:t>加快培育一批“</w:t>
      </w:r>
      <w:bookmarkStart w:id="157" w:name="_Hlk62148983"/>
      <w:r>
        <w:rPr>
          <w:rFonts w:hint="eastAsia" w:ascii="Times New Roman" w:hAnsi="Times New Roman" w:eastAsia="方正仿宋_GBK" w:cs="Times New Roman"/>
          <w:sz w:val="32"/>
          <w:szCs w:val="22"/>
        </w:rPr>
        <w:t>农字号</w:t>
      </w:r>
      <w:bookmarkEnd w:id="157"/>
      <w:r>
        <w:rPr>
          <w:rFonts w:hint="eastAsia" w:ascii="Times New Roman" w:hAnsi="Times New Roman" w:eastAsia="方正仿宋_GBK" w:cs="Times New Roman"/>
          <w:sz w:val="32"/>
          <w:szCs w:val="22"/>
        </w:rPr>
        <w:t>”特色小镇，推动农村产业发展与新型城镇化相结合。鼓励当地企业积极申报“</w:t>
      </w:r>
      <w:bookmarkStart w:id="158" w:name="_Hlk62148988"/>
      <w:r>
        <w:rPr>
          <w:rFonts w:hint="eastAsia" w:ascii="Times New Roman" w:hAnsi="Times New Roman" w:eastAsia="方正仿宋_GBK" w:cs="Times New Roman"/>
          <w:sz w:val="32"/>
          <w:szCs w:val="22"/>
        </w:rPr>
        <w:t>粤字号</w:t>
      </w:r>
      <w:bookmarkEnd w:id="158"/>
      <w:r>
        <w:rPr>
          <w:rFonts w:hint="eastAsia" w:ascii="Times New Roman" w:hAnsi="Times New Roman" w:eastAsia="方正仿宋_GBK" w:cs="Times New Roman"/>
          <w:sz w:val="32"/>
          <w:szCs w:val="22"/>
        </w:rPr>
        <w:t>”农业知名品牌，创建地域特色突出、产品特性鲜明的区域公用品牌。引导、帮助品牌产品生产企业更好地发挥品牌效益，营</w:t>
      </w:r>
      <w:r>
        <w:rPr>
          <w:rFonts w:ascii="Times New Roman" w:hAnsi="Times New Roman" w:eastAsia="方正仿宋_GBK" w:cs="Times New Roman"/>
          <w:sz w:val="32"/>
          <w:szCs w:val="22"/>
        </w:rPr>
        <w:t>造全社会信赖品牌、保护品牌的良好氛</w:t>
      </w:r>
      <w:r>
        <w:rPr>
          <w:rFonts w:hint="eastAsia" w:ascii="Times New Roman" w:hAnsi="Times New Roman" w:eastAsia="方正仿宋_GBK" w:cs="Times New Roman"/>
          <w:sz w:val="32"/>
          <w:szCs w:val="22"/>
        </w:rPr>
        <w:t>围，做强一批“粤字号”农业品牌</w:t>
      </w:r>
      <w:r>
        <w:rPr>
          <w:rFonts w:ascii="Times New Roman" w:hAnsi="Times New Roman" w:eastAsia="方正仿宋_GBK" w:cs="Times New Roman"/>
          <w:sz w:val="32"/>
          <w:szCs w:val="22"/>
        </w:rPr>
        <w:t>，择优培育一批</w:t>
      </w:r>
      <w:bookmarkStart w:id="159" w:name="_Hlk62149008"/>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乡字号</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土字号</w:t>
      </w:r>
      <w:bookmarkEnd w:id="159"/>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的国家</w:t>
      </w:r>
      <w:r>
        <w:rPr>
          <w:rFonts w:hint="eastAsia" w:ascii="Times New Roman" w:hAnsi="Times New Roman" w:eastAsia="方正仿宋_GBK" w:cs="Times New Roman"/>
          <w:sz w:val="32"/>
          <w:szCs w:val="22"/>
        </w:rPr>
        <w:t>级</w:t>
      </w:r>
      <w:r>
        <w:rPr>
          <w:rFonts w:ascii="Times New Roman" w:hAnsi="Times New Roman" w:eastAsia="方正仿宋_GBK" w:cs="Times New Roman"/>
          <w:sz w:val="32"/>
          <w:szCs w:val="22"/>
        </w:rPr>
        <w:t>特色知名品牌，推介一批全国乡村能工巧匠。</w:t>
      </w:r>
      <w:r>
        <w:rPr>
          <w:rFonts w:hint="eastAsia" w:ascii="Times New Roman" w:hAnsi="Times New Roman" w:eastAsia="方正仿宋_GBK" w:cs="Times New Roman"/>
          <w:sz w:val="32"/>
          <w:szCs w:val="22"/>
        </w:rPr>
        <w:t>加强农产品质量和食品安全监管，发展绿色农产品、有机农产品和地理标志农产品。</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培育新型农业经营主体。</w:t>
      </w:r>
      <w:r>
        <w:rPr>
          <w:rFonts w:hint="eastAsia" w:ascii="Times New Roman" w:hAnsi="Times New Roman" w:eastAsia="方正仿宋_GBK" w:cs="Times New Roman"/>
          <w:sz w:val="32"/>
          <w:szCs w:val="22"/>
        </w:rPr>
        <w:t>构建新型多样化农业经营体系。实施新型农业经营主体培育工程，鼓励通过多种形式开展适度规模经营。加快形成以家庭承包经营为基础，农业龙头企业、农民合作社、专业大户、家庭农场为骨干，其他组织形式为补充的新型农业经营体系。突出抓好家庭农场和农民合作社两类经营主体，实施家庭农场培育计划，推进农民合作社质量提升。鼓励扶持小农户适度扩大规模经营，推广“龙头企业</w:t>
      </w:r>
      <w:r>
        <w:rPr>
          <w:rFonts w:ascii="Times New Roman" w:hAnsi="Times New Roman" w:eastAsia="方正仿宋_GBK" w:cs="Times New Roman"/>
          <w:sz w:val="32"/>
          <w:szCs w:val="22"/>
        </w:rPr>
        <w:t>+合作社+基地+农户</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专业市场+合作社+农户</w:t>
      </w:r>
      <w:r>
        <w:rPr>
          <w:rFonts w:hint="eastAsia" w:ascii="Times New Roman" w:hAnsi="Times New Roman" w:eastAsia="方正仿宋_GBK" w:cs="Times New Roman"/>
          <w:sz w:val="32"/>
          <w:szCs w:val="22"/>
        </w:rPr>
        <w:t>”“供销社</w:t>
      </w:r>
      <w:r>
        <w:rPr>
          <w:rFonts w:ascii="Times New Roman" w:hAnsi="Times New Roman" w:eastAsia="方正仿宋_GBK" w:cs="Times New Roman"/>
          <w:sz w:val="32"/>
          <w:szCs w:val="22"/>
        </w:rPr>
        <w:t>+合作社+小农户</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等经营模式</w:t>
      </w:r>
      <w:r>
        <w:rPr>
          <w:rFonts w:hint="eastAsia" w:ascii="Times New Roman" w:hAnsi="Times New Roman" w:eastAsia="方正仿宋_GBK" w:cs="Times New Roman"/>
          <w:sz w:val="32"/>
          <w:szCs w:val="22"/>
        </w:rPr>
        <w:t>。引导大型龙头企业组建大型企业集团，加快培育农商产业联盟、农业产业化联合体等新型产业链主体，打造一批产加销一体的全产业链企业集群。推进农业循环经济试点示范和田园综合体试点建设。培育高素质农民，组织参加技能评价、学历教育。</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jc w:val="center"/>
              <w:rPr>
                <w:rFonts w:ascii="Times New Roman" w:hAnsi="Times New Roman" w:eastAsia="方正仿宋_GBK" w:cs="Times New Roman"/>
                <w:b/>
                <w:bCs/>
                <w:sz w:val="32"/>
                <w:szCs w:val="22"/>
              </w:rPr>
            </w:pPr>
            <w:bookmarkStart w:id="160" w:name="_Toc59798215"/>
            <w:r>
              <w:rPr>
                <w:rFonts w:hint="eastAsia" w:ascii="Times New Roman" w:hAnsi="Times New Roman" w:eastAsia="方正仿宋_GBK" w:cs="Times New Roman"/>
                <w:b/>
                <w:bCs/>
                <w:sz w:val="28"/>
                <w:szCs w:val="21"/>
              </w:rPr>
              <w:t xml:space="preserve">专栏5 </w:t>
            </w:r>
            <w:r>
              <w:rPr>
                <w:rFonts w:ascii="Times New Roman" w:hAnsi="Times New Roman" w:eastAsia="方正仿宋_GBK" w:cs="Times New Roman"/>
                <w:b/>
                <w:bCs/>
                <w:sz w:val="28"/>
                <w:szCs w:val="21"/>
              </w:rPr>
              <w:t xml:space="preserve"> </w:t>
            </w:r>
            <w:r>
              <w:rPr>
                <w:rFonts w:hint="eastAsia" w:ascii="Times New Roman" w:hAnsi="Times New Roman" w:eastAsia="方正仿宋_GBK" w:cs="Times New Roman"/>
                <w:b/>
                <w:bCs/>
                <w:sz w:val="28"/>
                <w:szCs w:val="21"/>
              </w:rPr>
              <w:t>农村现代化建设重点工程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古竹镇潮沙村田园综合体项目：</w:t>
            </w:r>
            <w:r>
              <w:rPr>
                <w:rFonts w:hint="eastAsia" w:ascii="Times New Roman" w:hAnsi="Times New Roman" w:eastAsia="方正仿宋_GBK" w:cs="Times New Roman"/>
                <w:sz w:val="24"/>
              </w:rPr>
              <w:t>划分文化产业园区、休闲商业区、文化活动公寓区、生态田园体验区等四大功能区，约</w:t>
            </w:r>
            <w:r>
              <w:rPr>
                <w:rFonts w:ascii="Times New Roman" w:hAnsi="Times New Roman" w:eastAsia="方正仿宋_GBK" w:cs="Times New Roman"/>
                <w:sz w:val="24"/>
              </w:rPr>
              <w:t>2250亩</w:t>
            </w:r>
            <w:r>
              <w:rPr>
                <w:rFonts w:hint="eastAsia" w:ascii="Times New Roman" w:hAnsi="Times New Roman" w:eastAsia="方正仿宋_GBK" w:cs="Times New Roman"/>
                <w:sz w:val="24"/>
              </w:rPr>
              <w:t>。</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中草药标准化种植示范基地：</w:t>
            </w:r>
            <w:r>
              <w:rPr>
                <w:rFonts w:hint="eastAsia" w:ascii="Times New Roman" w:hAnsi="Times New Roman" w:eastAsia="方正仿宋_GBK" w:cs="Times New Roman"/>
                <w:sz w:val="24"/>
              </w:rPr>
              <w:t>建设</w:t>
            </w:r>
            <w:r>
              <w:rPr>
                <w:rFonts w:ascii="Times New Roman" w:hAnsi="Times New Roman" w:eastAsia="方正仿宋_GBK" w:cs="Times New Roman"/>
                <w:sz w:val="24"/>
              </w:rPr>
              <w:t>1580亩中草药，种植金丝皇菊1150亩，药用玫瑰250亩，黄精180亩，通过规模种植逐步打造中草药种植、加工、销售、集散交易、旅游观光等综合产业链条</w:t>
            </w:r>
            <w:r>
              <w:rPr>
                <w:rFonts w:hint="eastAsia" w:ascii="Times New Roman" w:hAnsi="Times New Roman" w:eastAsia="方正仿宋_GBK" w:cs="Times New Roman"/>
                <w:sz w:val="24"/>
              </w:rPr>
              <w:t>。</w:t>
            </w:r>
          </w:p>
        </w:tc>
      </w:tr>
    </w:tbl>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161" w:name="_Toc61279537"/>
      <w:bookmarkStart w:id="162" w:name="_Toc67502348"/>
      <w:r>
        <w:rPr>
          <w:rFonts w:hint="eastAsia" w:ascii="Times New Roman" w:hAnsi="Times New Roman" w:eastAsia="方正楷体_GBK" w:cs="Times New Roman"/>
          <w:kern w:val="0"/>
          <w:sz w:val="32"/>
          <w:szCs w:val="32"/>
        </w:rPr>
        <w:t>第二节</w:t>
      </w:r>
      <w:r>
        <w:rPr>
          <w:rFonts w:ascii="Times New Roman" w:hAnsi="Times New Roman" w:eastAsia="方正楷体_GBK" w:cs="Times New Roman"/>
          <w:kern w:val="0"/>
          <w:sz w:val="32"/>
          <w:szCs w:val="32"/>
        </w:rPr>
        <w:t xml:space="preserve"> </w:t>
      </w:r>
      <w:r>
        <w:rPr>
          <w:rFonts w:hint="eastAsia" w:ascii="Times New Roman" w:hAnsi="Times New Roman" w:eastAsia="方正楷体_GBK" w:cs="Times New Roman"/>
          <w:kern w:val="0"/>
          <w:sz w:val="32"/>
          <w:szCs w:val="32"/>
        </w:rPr>
        <w:t>建设生态宜居美丽乡村</w:t>
      </w:r>
      <w:bookmarkEnd w:id="160"/>
      <w:bookmarkEnd w:id="161"/>
      <w:bookmarkEnd w:id="162"/>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持续改善农村人居环境。</w:t>
      </w:r>
      <w:r>
        <w:rPr>
          <w:rFonts w:hint="eastAsia" w:ascii="Times New Roman" w:hAnsi="Times New Roman" w:eastAsia="方正仿宋_GBK" w:cs="Times New Roman"/>
          <w:bCs/>
          <w:sz w:val="32"/>
          <w:szCs w:val="22"/>
        </w:rPr>
        <w:t>加快推进村庄规划工作，有序推进“多规合一”实用性村庄规划编制，优化村庄布局。</w:t>
      </w:r>
      <w:r>
        <w:rPr>
          <w:rFonts w:hint="eastAsia" w:ascii="Times New Roman" w:hAnsi="Times New Roman" w:eastAsia="方正仿宋_GBK" w:cs="Times New Roman"/>
          <w:sz w:val="32"/>
          <w:szCs w:val="22"/>
        </w:rPr>
        <w:t>加大历史文化名镇名村名居和传统村落保护力度，推进幸福村居、新农村示范片建设。重点把雅色村、桂林村打造为省定贫困村建设示范村，年丰村、蓼坑村打造为文体旅游特色示范村。加快推进农村危房改造。加强人居环境综合整治，重点整治农村生活垃圾污染、水体污染，实行农村生活垃圾多样化无害化处理，建设美丽乡村。实施“千村精品、万村景区”工程，创建一批乡村振兴精品村、</w:t>
      </w:r>
      <w:r>
        <w:rPr>
          <w:rFonts w:ascii="Times New Roman" w:hAnsi="Times New Roman" w:eastAsia="方正仿宋_GBK" w:cs="Times New Roman"/>
          <w:sz w:val="32"/>
          <w:szCs w:val="22"/>
        </w:rPr>
        <w:t>A级景区村、美丽宜居示范村、特色民俗村寨。深入推进整洁田园、美丽农业建设，实现投入品减量化</w:t>
      </w:r>
      <w:r>
        <w:rPr>
          <w:rFonts w:hint="eastAsia" w:ascii="Times New Roman" w:hAnsi="Times New Roman" w:eastAsia="方正仿宋_GBK" w:cs="Times New Roman"/>
          <w:sz w:val="32"/>
          <w:szCs w:val="22"/>
        </w:rPr>
        <w:t>、生产清洁化、废弃物资源化、产业模式生态化。深化</w:t>
      </w:r>
      <w:bookmarkStart w:id="163" w:name="_Hlk62149048"/>
      <w:r>
        <w:rPr>
          <w:rFonts w:hint="eastAsia" w:ascii="Times New Roman" w:hAnsi="Times New Roman" w:eastAsia="方正仿宋_GBK" w:cs="Times New Roman"/>
          <w:sz w:val="32"/>
          <w:szCs w:val="22"/>
        </w:rPr>
        <w:t>“四边三化”</w:t>
      </w:r>
      <w:bookmarkEnd w:id="163"/>
      <w:r>
        <w:rPr>
          <w:rFonts w:hint="eastAsia" w:ascii="Times New Roman" w:hAnsi="Times New Roman" w:eastAsia="方正仿宋_GBK" w:cs="Times New Roman"/>
          <w:sz w:val="32"/>
          <w:szCs w:val="22"/>
        </w:rPr>
        <w:t>行动。加快“碧道”“四小园”建设。开展森林城市、森林城镇、森林村庄建设，推广</w:t>
      </w:r>
      <w:bookmarkStart w:id="164" w:name="_Hlk62149058"/>
      <w:r>
        <w:rPr>
          <w:rFonts w:hint="eastAsia" w:ascii="Times New Roman" w:hAnsi="Times New Roman" w:eastAsia="方正仿宋_GBK" w:cs="Times New Roman"/>
          <w:sz w:val="32"/>
          <w:szCs w:val="22"/>
        </w:rPr>
        <w:t>“一村万树”</w:t>
      </w:r>
      <w:bookmarkEnd w:id="164"/>
      <w:r>
        <w:rPr>
          <w:rFonts w:hint="eastAsia" w:ascii="Times New Roman" w:hAnsi="Times New Roman" w:eastAsia="方正仿宋_GBK" w:cs="Times New Roman"/>
          <w:sz w:val="32"/>
          <w:szCs w:val="22"/>
        </w:rPr>
        <w:t>。坚持“洁、齐、绿、美、景、韵”六美标准，建设美丽庭院。</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sz w:val="32"/>
          <w:szCs w:val="22"/>
        </w:rPr>
        <w:t>加强农村设施建设。</w:t>
      </w:r>
      <w:r>
        <w:rPr>
          <w:rFonts w:hint="eastAsia" w:ascii="Times New Roman" w:hAnsi="Times New Roman" w:eastAsia="方正仿宋_GBK" w:cs="Times New Roman"/>
          <w:sz w:val="32"/>
          <w:szCs w:val="22"/>
        </w:rPr>
        <w:t>实施乡村清洁能源建设工程，开展新一轮农村电网升级改造，推进燃气下乡，发展生物质能源，加强煤炭清洁化利用。加强农村资源路、产业路、旅游路和村内主干道建设，全面实施路长制。强化村庄特色风貌引导，开展农房管控和乡村风貌带建设工程。加强农房建设质量监管，实施安全隐患排查整治。加强农村建房规范化施工管理，建设一批具有乡土气息、客家韵味的特色民居。加快江东新区农贸市场建设，逐步取消占道经营和露天市场，规范农贸市场设置。全域实施村庄基础设施改善工程。加强数字乡村建设。</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加强乡风文明建设。</w:t>
      </w:r>
      <w:r>
        <w:rPr>
          <w:rFonts w:hint="eastAsia" w:ascii="Times New Roman" w:hAnsi="Times New Roman" w:eastAsia="方正仿宋_GBK" w:cs="Times New Roman"/>
          <w:sz w:val="32"/>
          <w:szCs w:val="22"/>
        </w:rPr>
        <w:t>加强农村思想道德建设，推进核心价值观主题公园建设，依托乡村文化广场或主题公园，宣传文明新风。全面繁荣农村文化，支持农村题材影视、戏曲、歌曲、舞台剧等创作。推进乡村记忆工程，建设一批民俗生态博物馆。实施农村文明素质提升工程，深入推进农村文明家庭、最美家庭、绿色家庭、书香家庭、健康家庭建设。开展乡风文明培育行动，培育文明乡风、良好家风、淳朴民风，深化文明村镇创建活动。贯彻落实《公民道德建设实施纲要》，深入实施公民道德建设工程，倡导乡村诚信道德规范。持续开展移风易俗行动，推动各乡镇建立乡风民风评议制度，加快完善村规民约，加强对村民自觉遏制各类陈规陋习和抵制封建迷信的引导。</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推动乡村有效治理。</w:t>
      </w:r>
      <w:r>
        <w:rPr>
          <w:rFonts w:hint="eastAsia" w:ascii="Times New Roman" w:hAnsi="Times New Roman" w:eastAsia="方正仿宋_GBK" w:cs="Times New Roman"/>
          <w:sz w:val="32"/>
          <w:szCs w:val="22"/>
        </w:rPr>
        <w:t>健全党组织领导的自治、法治、德治相结合的农村基层治理体系，</w:t>
      </w:r>
      <w:r>
        <w:rPr>
          <w:rFonts w:ascii="Times New Roman" w:hAnsi="Times New Roman" w:eastAsia="方正仿宋_GBK" w:cs="Times New Roman"/>
          <w:sz w:val="32"/>
          <w:szCs w:val="22"/>
        </w:rPr>
        <w:t>强化新区是</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一线指挥部</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、镇是</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为农服</w:t>
      </w:r>
      <w:r>
        <w:rPr>
          <w:rFonts w:hint="eastAsia" w:ascii="Times New Roman" w:hAnsi="Times New Roman" w:eastAsia="方正仿宋_GBK" w:cs="Times New Roman"/>
          <w:sz w:val="32"/>
          <w:szCs w:val="22"/>
        </w:rPr>
        <w:t>务中心”职责定位，推动社会管理和服务重心下移，全面提升乡村治理效能。健全领导干部深入基层联系群众机制。加强农村基层党组织建设，建立健全以党的基层组织为核心、村民自治和村务监督组织为基础、集体经济组织和农民合作组织为纽带、各种经济社会服务组织为补充的农村组织体系。实施基层党组织“头雁工程”、</w:t>
      </w:r>
      <w:bookmarkStart w:id="165" w:name="_Hlk62149090"/>
      <w:r>
        <w:rPr>
          <w:rFonts w:hint="eastAsia" w:ascii="Times New Roman" w:hAnsi="Times New Roman" w:eastAsia="方正仿宋_GBK" w:cs="Times New Roman"/>
          <w:sz w:val="32"/>
          <w:szCs w:val="22"/>
        </w:rPr>
        <w:t>南粤党员先锋工程</w:t>
      </w:r>
      <w:bookmarkEnd w:id="165"/>
      <w:r>
        <w:rPr>
          <w:rFonts w:hint="eastAsia" w:ascii="Times New Roman" w:hAnsi="Times New Roman" w:eastAsia="方正仿宋_GBK" w:cs="Times New Roman"/>
          <w:sz w:val="32"/>
          <w:szCs w:val="22"/>
        </w:rPr>
        <w:t>。完善乡村自治组织民主制度，深化村民自治实践，加快推进村民议事厅建设。全面提高农村基层法治水平。</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580" w:lineRule="exact"/>
              <w:jc w:val="center"/>
              <w:rPr>
                <w:rFonts w:ascii="Times New Roman" w:hAnsi="Times New Roman" w:eastAsia="方正仿宋_GBK" w:cs="Times New Roman"/>
                <w:b/>
                <w:bCs/>
                <w:sz w:val="32"/>
                <w:szCs w:val="22"/>
              </w:rPr>
            </w:pPr>
            <w:bookmarkStart w:id="166" w:name="_Toc59798216"/>
            <w:r>
              <w:rPr>
                <w:rFonts w:hint="eastAsia" w:ascii="Times New Roman" w:hAnsi="Times New Roman" w:eastAsia="方正仿宋_GBK" w:cs="Times New Roman"/>
                <w:b/>
                <w:bCs/>
                <w:sz w:val="28"/>
                <w:szCs w:val="21"/>
              </w:rPr>
              <w:t xml:space="preserve">专栏6 </w:t>
            </w:r>
            <w:r>
              <w:rPr>
                <w:rFonts w:ascii="Times New Roman" w:hAnsi="Times New Roman" w:eastAsia="方正仿宋_GBK" w:cs="Times New Roman"/>
                <w:b/>
                <w:bCs/>
                <w:sz w:val="28"/>
                <w:szCs w:val="21"/>
              </w:rPr>
              <w:t xml:space="preserve"> </w:t>
            </w:r>
            <w:r>
              <w:rPr>
                <w:rFonts w:hint="eastAsia" w:ascii="Times New Roman" w:hAnsi="Times New Roman" w:eastAsia="方正仿宋_GBK" w:cs="Times New Roman"/>
                <w:b/>
                <w:bCs/>
                <w:sz w:val="28"/>
                <w:szCs w:val="21"/>
              </w:rPr>
              <w:t>农村现代化建设重点工程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580" w:lineRule="exact"/>
              <w:ind w:firstLine="482" w:firstLineChars="200"/>
              <w:rPr>
                <w:rFonts w:ascii="Times New Roman" w:hAnsi="Times New Roman" w:eastAsia="方正仿宋_GBK" w:cs="Times New Roman"/>
                <w:b/>
                <w:bCs/>
                <w:sz w:val="24"/>
              </w:rPr>
            </w:pPr>
            <w:r>
              <w:rPr>
                <w:rFonts w:hint="eastAsia" w:ascii="Times New Roman" w:hAnsi="Times New Roman" w:eastAsia="方正仿宋_GBK" w:cs="Times New Roman"/>
                <w:b/>
                <w:bCs/>
                <w:sz w:val="24"/>
              </w:rPr>
              <w:t>人居环境综合整治项目：</w:t>
            </w:r>
            <w:r>
              <w:rPr>
                <w:rFonts w:hint="eastAsia" w:ascii="Times New Roman" w:hAnsi="Times New Roman" w:eastAsia="方正仿宋_GBK" w:cs="Times New Roman"/>
                <w:sz w:val="24"/>
              </w:rPr>
              <w:t>临江、古竹镇村容村貌整治项目。</w:t>
            </w:r>
          </w:p>
          <w:p>
            <w:pPr>
              <w:adjustRightInd w:val="0"/>
              <w:snapToGrid w:val="0"/>
              <w:spacing w:line="580" w:lineRule="exact"/>
              <w:ind w:firstLine="482" w:firstLineChars="200"/>
              <w:rPr>
                <w:rFonts w:ascii="Times New Roman" w:hAnsi="Times New Roman" w:eastAsia="方正仿宋_GBK" w:cs="Times New Roman"/>
                <w:b/>
                <w:bCs/>
                <w:sz w:val="24"/>
              </w:rPr>
            </w:pPr>
            <w:r>
              <w:rPr>
                <w:rFonts w:hint="eastAsia" w:ascii="Times New Roman" w:hAnsi="Times New Roman" w:eastAsia="方正仿宋_GBK" w:cs="Times New Roman"/>
                <w:b/>
                <w:bCs/>
                <w:sz w:val="24"/>
              </w:rPr>
              <w:t>基础设施建设项目：</w:t>
            </w:r>
            <w:r>
              <w:rPr>
                <w:rFonts w:hint="eastAsia" w:ascii="Times New Roman" w:hAnsi="Times New Roman" w:eastAsia="方正仿宋_GBK" w:cs="Times New Roman"/>
                <w:sz w:val="24"/>
              </w:rPr>
              <w:t>临江、古竹镇污水处理设施及管网建设项目；临江、古竹镇村道扩宽工程；临江、古竹镇村道水泥硬底化建设工程；临江、古竹镇生活垃圾处理项目；临江、古竹镇集中供水项目。</w:t>
            </w:r>
          </w:p>
          <w:p>
            <w:pPr>
              <w:adjustRightInd w:val="0"/>
              <w:snapToGrid w:val="0"/>
              <w:spacing w:line="580" w:lineRule="exact"/>
              <w:ind w:firstLine="482" w:firstLineChars="200"/>
              <w:rPr>
                <w:rFonts w:ascii="Times New Roman" w:hAnsi="Times New Roman" w:eastAsia="方正仿宋_GBK" w:cs="Times New Roman"/>
                <w:b/>
                <w:bCs/>
                <w:sz w:val="24"/>
              </w:rPr>
            </w:pPr>
            <w:r>
              <w:rPr>
                <w:rFonts w:hint="eastAsia" w:ascii="Times New Roman" w:hAnsi="Times New Roman" w:eastAsia="方正仿宋_GBK" w:cs="Times New Roman"/>
                <w:b/>
                <w:bCs/>
                <w:sz w:val="24"/>
              </w:rPr>
              <w:t>农村公共服务设施配套项目：</w:t>
            </w:r>
            <w:r>
              <w:rPr>
                <w:rFonts w:hint="eastAsia" w:ascii="Times New Roman" w:hAnsi="Times New Roman" w:eastAsia="方正仿宋_GBK" w:cs="Times New Roman"/>
                <w:sz w:val="24"/>
              </w:rPr>
              <w:t>临江镇公共服务设施项目；古竹镇公共服务设施项目</w:t>
            </w:r>
            <w:r>
              <w:rPr>
                <w:rFonts w:ascii="Times New Roman" w:hAnsi="Times New Roman" w:eastAsia="方正仿宋_GBK" w:cs="Times New Roman"/>
                <w:sz w:val="24"/>
              </w:rPr>
              <w:t>。</w:t>
            </w:r>
          </w:p>
        </w:tc>
      </w:tr>
    </w:tbl>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167" w:name="_Toc61279538"/>
      <w:bookmarkStart w:id="168" w:name="_Toc67502349"/>
      <w:r>
        <w:rPr>
          <w:rFonts w:hint="eastAsia" w:ascii="Times New Roman" w:hAnsi="Times New Roman" w:eastAsia="方正楷体_GBK" w:cs="Times New Roman"/>
          <w:kern w:val="0"/>
          <w:sz w:val="32"/>
          <w:szCs w:val="32"/>
        </w:rPr>
        <w:t>第三节 促进脱贫攻坚与乡村振兴有效衔接</w:t>
      </w:r>
      <w:bookmarkEnd w:id="166"/>
      <w:bookmarkEnd w:id="167"/>
      <w:bookmarkEnd w:id="168"/>
    </w:p>
    <w:p>
      <w:pPr>
        <w:adjustRightInd w:val="0"/>
        <w:snapToGrid w:val="0"/>
        <w:spacing w:line="600" w:lineRule="exact"/>
        <w:ind w:firstLine="643" w:firstLineChars="200"/>
        <w:rPr>
          <w:rFonts w:ascii="Times New Roman" w:hAnsi="Times New Roman" w:eastAsia="方正仿宋_GBK" w:cs="Times New Roman"/>
          <w:b/>
          <w:bCs/>
          <w:sz w:val="32"/>
          <w:szCs w:val="22"/>
        </w:rPr>
      </w:pPr>
      <w:r>
        <w:rPr>
          <w:rFonts w:hint="eastAsia" w:ascii="Times New Roman" w:hAnsi="Times New Roman" w:eastAsia="方正仿宋_GBK" w:cs="Times New Roman"/>
          <w:b/>
          <w:bCs/>
          <w:sz w:val="32"/>
          <w:szCs w:val="22"/>
        </w:rPr>
        <w:t>巩固</w:t>
      </w:r>
      <w:r>
        <w:rPr>
          <w:rFonts w:hint="eastAsia" w:ascii="Times New Roman" w:hAnsi="Times New Roman" w:eastAsia="方正仿宋_GBK" w:cs="Times New Roman"/>
          <w:b/>
          <w:bCs/>
          <w:sz w:val="32"/>
          <w:szCs w:val="22"/>
          <w:lang w:val="en-US" w:eastAsia="zh-CN"/>
        </w:rPr>
        <w:t>拓展</w:t>
      </w:r>
      <w:r>
        <w:rPr>
          <w:rFonts w:hint="eastAsia" w:ascii="Times New Roman" w:hAnsi="Times New Roman" w:eastAsia="方正仿宋_GBK" w:cs="Times New Roman"/>
          <w:b/>
          <w:bCs/>
          <w:sz w:val="32"/>
          <w:szCs w:val="22"/>
        </w:rPr>
        <w:t>脱贫攻坚成果。</w:t>
      </w:r>
      <w:r>
        <w:rPr>
          <w:rFonts w:hint="eastAsia" w:ascii="Times New Roman" w:hAnsi="Times New Roman" w:eastAsia="方正仿宋_GBK" w:cs="Times New Roman"/>
          <w:bCs/>
          <w:sz w:val="32"/>
          <w:szCs w:val="22"/>
        </w:rPr>
        <w:t>设立衔接过渡期，逐步推动工作重心向全面推进乡村振兴平稳</w:t>
      </w:r>
      <w:r>
        <w:rPr>
          <w:rFonts w:hint="eastAsia" w:ascii="Times New Roman" w:hAnsi="Times New Roman" w:eastAsia="方正仿宋_GBK" w:cs="Times New Roman"/>
          <w:bCs/>
          <w:sz w:val="32"/>
          <w:szCs w:val="22"/>
          <w:lang w:eastAsia="zh-CN"/>
        </w:rPr>
        <w:t>过渡</w:t>
      </w:r>
      <w:r>
        <w:rPr>
          <w:rFonts w:hint="eastAsia" w:ascii="Times New Roman" w:hAnsi="Times New Roman" w:eastAsia="方正仿宋_GBK" w:cs="Times New Roman"/>
          <w:bCs/>
          <w:sz w:val="32"/>
          <w:szCs w:val="22"/>
        </w:rPr>
        <w:t>，</w:t>
      </w:r>
      <w:r>
        <w:rPr>
          <w:rFonts w:hint="eastAsia" w:ascii="Times New Roman" w:hAnsi="Times New Roman" w:eastAsia="方正仿宋_GBK" w:cs="Times New Roman"/>
          <w:sz w:val="32"/>
          <w:szCs w:val="22"/>
        </w:rPr>
        <w:t>严格落实“四个不摘”要求，加强动态监测管理。健全监测预警机制，对已脱贫重点监测户、边缘户和家庭收入骤减或支出骤增的农户加强动态监测，及时发现、及时帮扶，守住防止规模性返贫底线。健全研判帮扶机制，逐户分析研判返贫致贫预警信息，制定处置方案。巩固提升扶贫产业，大力发展庭院经济，引导扶持贫困户发展小种植、小养殖、小手工、小买卖、小电商、小作坊等“</w:t>
      </w:r>
      <w:bookmarkStart w:id="169" w:name="_Hlk62149115"/>
      <w:r>
        <w:rPr>
          <w:rFonts w:hint="eastAsia" w:ascii="Times New Roman" w:hAnsi="Times New Roman" w:eastAsia="方正仿宋_GBK" w:cs="Times New Roman"/>
          <w:sz w:val="32"/>
          <w:szCs w:val="22"/>
        </w:rPr>
        <w:t>短平快</w:t>
      </w:r>
      <w:bookmarkEnd w:id="169"/>
      <w:r>
        <w:rPr>
          <w:rFonts w:hint="eastAsia" w:ascii="Times New Roman" w:hAnsi="Times New Roman" w:eastAsia="方正仿宋_GBK" w:cs="Times New Roman"/>
          <w:sz w:val="32"/>
          <w:szCs w:val="22"/>
        </w:rPr>
        <w:t>”增收致富小产业。稳定扶贫政策措施，对退出的贫困村、贫困人口保持现有帮扶政策总体稳定和连续，鼓励政策和资金向脱贫不稳定贫困户重点倾斜。加强扶贫项目资产管理和监督。</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建立脱贫攻坚与乡村振兴的衔接机制。</w:t>
      </w:r>
      <w:r>
        <w:rPr>
          <w:rFonts w:hint="eastAsia" w:ascii="Times New Roman" w:hAnsi="Times New Roman" w:eastAsia="方正仿宋_GBK" w:cs="Times New Roman"/>
          <w:sz w:val="32"/>
          <w:szCs w:val="22"/>
        </w:rPr>
        <w:t>优化整合脱贫攻坚与乡村振兴机构职能，确保领导体制从脱贫攻坚顺利过渡到乡村振兴。继续强化产业扶贫、就业扶贫、消费扶贫三大工程。推进产业发展有机衔接。重点发展具有地域优势的特色农业产业，重大产业项目优先安排在贫困地区，培育扶贫龙头企业，实现产业扶贫到产业兴旺的转变。依托农村电商的发展，广泛开展农产品产销对接活动，深化消费帮扶。统筹用好公益岗位，积极开展就业援助。适度扩大扶贫政策惠及范围。加快建立相对贫困治理政策框架体系，将临界贫困户纳入低收入群体政策支持范围。鼓励先富户、脱贫户与贫困户之间形成合作帮扶机制。探索贫困村与非贫困村协同发展路径，实现村寨集群发展。</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170" w:name="_Toc61279539"/>
      <w:bookmarkStart w:id="171" w:name="_Toc67502350"/>
      <w:bookmarkStart w:id="172" w:name="_Toc59798217"/>
      <w:r>
        <w:rPr>
          <w:rFonts w:hint="eastAsia" w:ascii="Times New Roman" w:hAnsi="Times New Roman" w:eastAsia="方正楷体_GBK" w:cs="Times New Roman"/>
          <w:kern w:val="0"/>
          <w:sz w:val="32"/>
          <w:szCs w:val="32"/>
        </w:rPr>
        <w:t>第四节 深化涉农领域改革</w:t>
      </w:r>
      <w:bookmarkEnd w:id="170"/>
      <w:bookmarkEnd w:id="171"/>
      <w:bookmarkEnd w:id="172"/>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深化农村土地制度改革。</w:t>
      </w:r>
      <w:r>
        <w:rPr>
          <w:rFonts w:hint="eastAsia" w:ascii="Times New Roman" w:hAnsi="Times New Roman" w:eastAsia="方正仿宋_GBK" w:cs="Times New Roman"/>
          <w:sz w:val="32"/>
          <w:szCs w:val="22"/>
        </w:rPr>
        <w:t>落实第二轮土地承包到期后再延长三十年政策。落实加强耕地保护和改进占补平衡的政策，完善农村土地利用管理政策体系。加快房地一体的农村宅基地及住房确权登记发证。实施乡村全域土地综合整治，加强农村建设用地盘活利用。创新土地流转模式，制定引导农民互换并地的激励政策。鼓励探索以整村异地搬迁、农民公寓、住房联建等方式解决农户居住问题，推动村庄撤并工作。严格落实土地用途管制，严格控制非农建设占用耕地，深入推进农村乱占耕地建房专项整治行动，坚决遏制耕地“非农化”、防止“非粮化”。强化土地流转用途监督。</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深化农村集体产权制度改革。</w:t>
      </w:r>
      <w:r>
        <w:rPr>
          <w:rFonts w:hint="eastAsia" w:ascii="Times New Roman" w:hAnsi="Times New Roman" w:eastAsia="方正仿宋_GBK" w:cs="Times New Roman"/>
          <w:sz w:val="32"/>
          <w:szCs w:val="22"/>
        </w:rPr>
        <w:t>完善农村产权流转交易市场体系和交易规则，推进交易信息平台和产权登记备案平台联网一体化。健</w:t>
      </w:r>
      <w:r>
        <w:rPr>
          <w:rFonts w:ascii="Times New Roman" w:hAnsi="Times New Roman" w:eastAsia="方正仿宋_GBK" w:cs="Times New Roman"/>
          <w:sz w:val="32"/>
          <w:szCs w:val="22"/>
        </w:rPr>
        <w:t>全农村集体“</w:t>
      </w:r>
      <w:bookmarkStart w:id="173" w:name="_Hlk62149132"/>
      <w:r>
        <w:rPr>
          <w:rFonts w:ascii="Times New Roman" w:hAnsi="Times New Roman" w:eastAsia="方正仿宋_GBK" w:cs="Times New Roman"/>
          <w:sz w:val="32"/>
          <w:szCs w:val="22"/>
        </w:rPr>
        <w:t>三资</w:t>
      </w:r>
      <w:bookmarkEnd w:id="173"/>
      <w:r>
        <w:rPr>
          <w:rFonts w:ascii="Times New Roman" w:hAnsi="Times New Roman" w:eastAsia="方正仿宋_GBK" w:cs="Times New Roman"/>
          <w:sz w:val="32"/>
          <w:szCs w:val="22"/>
        </w:rPr>
        <w:t>”管理服务平台</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加强</w:t>
      </w:r>
      <w:bookmarkStart w:id="174" w:name="_Hlk62149146"/>
      <w:r>
        <w:rPr>
          <w:rFonts w:ascii="Times New Roman" w:hAnsi="Times New Roman" w:eastAsia="方正仿宋_GBK" w:cs="Times New Roman"/>
          <w:sz w:val="32"/>
          <w:szCs w:val="22"/>
        </w:rPr>
        <w:t>农村集体</w:t>
      </w:r>
      <w:r>
        <w:rPr>
          <w:rFonts w:hint="eastAsia" w:ascii="Times New Roman" w:hAnsi="Times New Roman" w:eastAsia="方正仿宋_GBK" w:cs="Times New Roman"/>
          <w:sz w:val="32"/>
          <w:szCs w:val="22"/>
        </w:rPr>
        <w:t>三资</w:t>
      </w:r>
      <w:r>
        <w:rPr>
          <w:rFonts w:ascii="Times New Roman" w:hAnsi="Times New Roman" w:eastAsia="方正仿宋_GBK" w:cs="Times New Roman"/>
          <w:sz w:val="32"/>
          <w:szCs w:val="22"/>
        </w:rPr>
        <w:t>管理</w:t>
      </w:r>
      <w:bookmarkEnd w:id="174"/>
      <w:r>
        <w:rPr>
          <w:rFonts w:ascii="Times New Roman" w:hAnsi="Times New Roman" w:eastAsia="方正仿宋_GBK" w:cs="Times New Roman"/>
          <w:sz w:val="32"/>
          <w:szCs w:val="22"/>
        </w:rPr>
        <w:t>。</w:t>
      </w:r>
      <w:r>
        <w:rPr>
          <w:rFonts w:hint="eastAsia" w:ascii="Times New Roman" w:hAnsi="Times New Roman" w:eastAsia="方正仿宋_GBK" w:cs="Times New Roman"/>
          <w:sz w:val="32"/>
          <w:szCs w:val="22"/>
        </w:rPr>
        <w:t>加强农村产权流转管理服务平台建设。引导进城落户农民依法自愿有偿转让土地承包权、宅基地使用权、集体收益分配权。加强宅基地管理，推进农村宅基地制度改革。深入推进农村土地股份合作制试点工作，积极探索农村集体经营性建设用地以土地作价入股方式入市。</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大力推进农村金融改革。</w:t>
      </w:r>
      <w:r>
        <w:rPr>
          <w:rFonts w:hint="eastAsia" w:ascii="Times New Roman" w:hAnsi="Times New Roman" w:eastAsia="方正仿宋_GBK" w:cs="Times New Roman"/>
          <w:sz w:val="32"/>
          <w:szCs w:val="22"/>
        </w:rPr>
        <w:t>完善农村金融市场、金融机构、金融产品体系。推动农村资源变资产、资金变股金、农民变股民“三变”，支持各类金融机构拓展“</w:t>
      </w:r>
      <w:bookmarkStart w:id="175" w:name="_Hlk62149161"/>
      <w:r>
        <w:rPr>
          <w:rFonts w:hint="eastAsia" w:ascii="Times New Roman" w:hAnsi="Times New Roman" w:eastAsia="方正仿宋_GBK" w:cs="Times New Roman"/>
          <w:sz w:val="32"/>
          <w:szCs w:val="22"/>
        </w:rPr>
        <w:t>三农</w:t>
      </w:r>
      <w:bookmarkEnd w:id="175"/>
      <w:r>
        <w:rPr>
          <w:rFonts w:hint="eastAsia" w:ascii="Times New Roman" w:hAnsi="Times New Roman" w:eastAsia="方正仿宋_GBK" w:cs="Times New Roman"/>
          <w:sz w:val="32"/>
          <w:szCs w:val="22"/>
        </w:rPr>
        <w:t>”业务。加快推进区综合征信中心、新型农村信用合作部等平台建设，加强农村金融服务网站布局，完善农村信用体系和基层金融服务体系。创新农村农业金融服务产品，拓展农业保险范围。加强涉农保险宣传，全面增强农民的风险意识。</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176" w:name="_Toc61279540"/>
      <w:bookmarkStart w:id="177" w:name="_Toc59798218"/>
      <w:bookmarkStart w:id="178" w:name="_Toc67502351"/>
      <w:r>
        <w:rPr>
          <w:rFonts w:hint="eastAsia" w:ascii="Times New Roman" w:hAnsi="Times New Roman" w:eastAsia="方正楷体_GBK" w:cs="Times New Roman"/>
          <w:kern w:val="0"/>
          <w:sz w:val="32"/>
          <w:szCs w:val="32"/>
        </w:rPr>
        <w:t>第五节 推动城乡融合发展</w:t>
      </w:r>
      <w:bookmarkEnd w:id="176"/>
      <w:bookmarkEnd w:id="177"/>
      <w:bookmarkEnd w:id="178"/>
    </w:p>
    <w:p>
      <w:pPr>
        <w:adjustRightInd w:val="0"/>
        <w:snapToGrid w:val="0"/>
        <w:spacing w:line="580" w:lineRule="exact"/>
        <w:ind w:firstLine="643" w:firstLineChars="200"/>
        <w:rPr>
          <w:rFonts w:ascii="Times New Roman" w:hAnsi="Times New Roman" w:eastAsia="方正仿宋_GBK" w:cs="Times New Roman"/>
          <w:b/>
          <w:bCs/>
          <w:sz w:val="32"/>
          <w:szCs w:val="22"/>
        </w:rPr>
      </w:pPr>
      <w:r>
        <w:rPr>
          <w:rFonts w:hint="eastAsia" w:ascii="Times New Roman" w:hAnsi="Times New Roman" w:eastAsia="方正仿宋_GBK" w:cs="Times New Roman"/>
          <w:b/>
          <w:bCs/>
          <w:sz w:val="32"/>
          <w:szCs w:val="22"/>
        </w:rPr>
        <w:t>促进城乡基本公共服务普惠共享。</w:t>
      </w:r>
      <w:r>
        <w:rPr>
          <w:rFonts w:hint="eastAsia" w:ascii="Times New Roman" w:hAnsi="Times New Roman" w:eastAsia="方正仿宋_GBK" w:cs="Times New Roman"/>
          <w:sz w:val="32"/>
          <w:szCs w:val="22"/>
        </w:rPr>
        <w:t>加快建立城乡统</w:t>
      </w:r>
      <w:r>
        <w:rPr>
          <w:rFonts w:ascii="Times New Roman" w:hAnsi="Times New Roman" w:eastAsia="方正仿宋_GBK" w:cs="Times New Roman"/>
          <w:sz w:val="32"/>
          <w:szCs w:val="22"/>
        </w:rPr>
        <w:t>一的标准，积极发挥政策的导向</w:t>
      </w:r>
      <w:r>
        <w:rPr>
          <w:rFonts w:hint="eastAsia" w:ascii="Times New Roman" w:hAnsi="Times New Roman" w:eastAsia="方正仿宋_GBK" w:cs="Times New Roman"/>
          <w:sz w:val="32"/>
          <w:szCs w:val="22"/>
        </w:rPr>
        <w:t>作用，逐步缩小城乡基本公共服务差距。加快完善投入机制，逐步加大农村领域的公共财政投入力度，采取政府购买服务的形式，充分调动民间组织和社会力量参与农村公共产品供给。推动新型农村合作医疗保险和新型农村养老保险与城镇基本医疗和养老保险制度相衔接，完善城乡社会保险的转移接续制度，促进社会保障制度城乡统筹。加快发展农村养老服务，积极培育农村康养服务产业。</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推进本地农民市民化。</w:t>
      </w:r>
      <w:r>
        <w:rPr>
          <w:rFonts w:hint="eastAsia" w:ascii="Times New Roman" w:hAnsi="Times New Roman" w:eastAsia="方正仿宋_GBK" w:cs="Times New Roman"/>
          <w:sz w:val="32"/>
          <w:szCs w:val="22"/>
        </w:rPr>
        <w:t>推进农民居住与生活场域乡村化、职业非农化与就业正规化、生活与消费方式现代化、角色认知与心理认同市民化，让农民“</w:t>
      </w:r>
      <w:bookmarkStart w:id="179" w:name="_Hlk62149176"/>
      <w:r>
        <w:rPr>
          <w:rFonts w:hint="eastAsia" w:ascii="Times New Roman" w:hAnsi="Times New Roman" w:eastAsia="方正仿宋_GBK" w:cs="Times New Roman"/>
          <w:sz w:val="32"/>
          <w:szCs w:val="22"/>
        </w:rPr>
        <w:t>原地市民化</w:t>
      </w:r>
      <w:bookmarkEnd w:id="179"/>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w:t>
      </w:r>
      <w:r>
        <w:rPr>
          <w:rFonts w:hint="eastAsia" w:ascii="Times New Roman" w:hAnsi="Times New Roman" w:eastAsia="方正仿宋_GBK" w:cs="Times New Roman"/>
          <w:sz w:val="32"/>
          <w:szCs w:val="22"/>
        </w:rPr>
        <w:t>推动外出务工人员归返乡村实现市民化，制定财政、金融、社会保障等激励政策，吸引江东新区原籍高校毕业生、外出农民工及经商人员回乡创业就业。持续提升乡村工作、居住、生活条件，加快提升农民素质，推动本地农民享有基本公共服务、社会治理参与等基本权益。加快发展第二、第三产业，推动农民就业领域由传统农业向现代农业以及第二、第三产业转换。加快完善乡村现代商业、文化娱乐等设施，引导乡村生活与消费方式现代化，逐步缩小与城市居民的生活和消费差距，推进原地市民化进程。</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健全城乡融合发展体制机制。</w:t>
      </w:r>
      <w:r>
        <w:rPr>
          <w:rFonts w:hint="eastAsia" w:ascii="Times New Roman" w:hAnsi="Times New Roman" w:eastAsia="方正仿宋_GBK" w:cs="Times New Roman"/>
          <w:bCs/>
          <w:sz w:val="32"/>
          <w:szCs w:val="22"/>
        </w:rPr>
        <w:t>加快打通城乡要素平等交换、双向流动的制度性通道，</w:t>
      </w:r>
      <w:r>
        <w:rPr>
          <w:rFonts w:hint="eastAsia" w:ascii="Times New Roman" w:hAnsi="Times New Roman" w:eastAsia="方正仿宋_GBK" w:cs="Times New Roman"/>
          <w:sz w:val="32"/>
          <w:szCs w:val="22"/>
        </w:rPr>
        <w:t>促进城乡要素合理流动，积极引导人口、资本、技术等生产要素在城乡之间合理流动。鼓励城市人才入乡。持续推进大学生村官制度。积极探索通过志愿者、挂职、兼职、岗编适度分离等多种方式，推进科研人才、教师、医生、律师、规划师、建筑师、园林工作者等人员定期服务乡村。鼓励涉农科研人员以技术、资金、信息等方式入股。完善工商资本入乡促进机制。强化对工商资本的市场信息服务，为涉农企业的生产决策提供参考依据。加快引导工商资本投资方向由农业产业化经营扩大到农产品产销一体化、乡村旅游休闲民宿、乡村生态环境修复、乡村基础设施建设、乡村生活性服务业等领域。</w:t>
      </w:r>
    </w:p>
    <w:p>
      <w:pPr>
        <w:keepNext/>
        <w:keepLines/>
        <w:adjustRightInd w:val="0"/>
        <w:snapToGrid w:val="0"/>
        <w:spacing w:before="156" w:beforeLines="50" w:after="156" w:afterLines="50" w:line="600" w:lineRule="exact"/>
        <w:jc w:val="center"/>
        <w:outlineLvl w:val="0"/>
        <w:rPr>
          <w:rFonts w:ascii="Times New Roman" w:hAnsi="Times New Roman" w:eastAsia="方正黑体_GBK" w:cs="Times New Roman"/>
          <w:bCs/>
          <w:kern w:val="44"/>
          <w:sz w:val="32"/>
          <w:szCs w:val="32"/>
          <w:lang w:val="zh-CN"/>
        </w:rPr>
      </w:pPr>
      <w:bookmarkStart w:id="180" w:name="_Toc59798219"/>
      <w:r>
        <w:rPr>
          <w:rFonts w:ascii="Times New Roman" w:hAnsi="Times New Roman" w:eastAsia="方正黑体_GBK" w:cs="Times New Roman"/>
          <w:bCs/>
          <w:kern w:val="44"/>
          <w:sz w:val="32"/>
          <w:szCs w:val="32"/>
          <w:lang w:val="zh-CN"/>
        </w:rPr>
        <w:br w:type="page"/>
      </w:r>
      <w:bookmarkStart w:id="181" w:name="_Toc67502352"/>
      <w:bookmarkStart w:id="182" w:name="_Toc61279541"/>
      <w:r>
        <w:rPr>
          <w:rFonts w:hint="eastAsia" w:ascii="Times New Roman" w:hAnsi="Times New Roman" w:eastAsia="方正黑体_GBK" w:cs="Times New Roman"/>
          <w:bCs/>
          <w:kern w:val="44"/>
          <w:sz w:val="32"/>
          <w:szCs w:val="32"/>
          <w:lang w:val="zh-CN"/>
        </w:rPr>
        <w:t>第九章 树立生态经济发展新标杆，打造绿色发展平台</w:t>
      </w:r>
      <w:bookmarkEnd w:id="180"/>
      <w:bookmarkEnd w:id="181"/>
      <w:bookmarkEnd w:id="182"/>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坚持绿水青山就是金山银山理念，实施严格的生态环境保护制度，强化生态空间管控，全面治理污染、保护自然资源，践行绿色生产生活方式，促进生态文明建设。</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183" w:name="_Toc61279542"/>
      <w:bookmarkStart w:id="184" w:name="_Toc59798220"/>
      <w:bookmarkStart w:id="185" w:name="_Toc67502353"/>
      <w:r>
        <w:rPr>
          <w:rFonts w:hint="eastAsia" w:ascii="Times New Roman" w:hAnsi="Times New Roman" w:eastAsia="方正楷体_GBK" w:cs="Times New Roman"/>
          <w:kern w:val="0"/>
          <w:sz w:val="32"/>
          <w:szCs w:val="32"/>
        </w:rPr>
        <w:t>第一节 筑牢生态防护屏障</w:t>
      </w:r>
      <w:bookmarkEnd w:id="183"/>
      <w:bookmarkEnd w:id="184"/>
      <w:bookmarkEnd w:id="185"/>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优化国土空间开发保护格局。</w:t>
      </w:r>
      <w:r>
        <w:rPr>
          <w:rFonts w:hint="eastAsia" w:ascii="Times New Roman" w:hAnsi="Times New Roman" w:eastAsia="方正仿宋_GBK" w:cs="Times New Roman"/>
          <w:sz w:val="32"/>
          <w:szCs w:val="22"/>
        </w:rPr>
        <w:t>以“示范区”“排头兵”为导向，严格落实“三线一单”生态环境分区管控，将生态保护红线、环境质量底线、资源利用上线的各项约束落实到环境管控单元，构建江东新区生态环境空间管控体系。立足资源环境承载能力，逐步形成城市化发展区、农产品主产区、生态功能区三大空间格局，优化重大基础设施、重大生产力和公共资源布局，加快打造古竹新城（河源副中心），</w:t>
      </w:r>
      <w:r>
        <w:rPr>
          <w:rFonts w:hint="eastAsia" w:ascii="Times New Roman" w:hAnsi="Times New Roman" w:eastAsia="方正仿宋_GBK" w:cs="方正仿宋_GBK"/>
          <w:sz w:val="32"/>
          <w:szCs w:val="32"/>
        </w:rPr>
        <w:t>提升城市发展能级，引领带动都市经济高质量发展。</w:t>
      </w:r>
      <w:r>
        <w:rPr>
          <w:rFonts w:hint="eastAsia" w:ascii="Times New Roman" w:hAnsi="Times New Roman" w:eastAsia="方正仿宋_GBK" w:cs="Times New Roman"/>
          <w:sz w:val="32"/>
          <w:szCs w:val="22"/>
        </w:rPr>
        <w:t>结合新区滨临东江、背靠梧桐山脉的地理条件，突出饮用水功能保护，以最严格的水资源安全防护标准为原则，划定生态控制线，兼顾环境生态和绿地景观保护，实现经济社会、生态资源利用与环境的协调发展。</w:t>
      </w:r>
    </w:p>
    <w:p>
      <w:pPr>
        <w:adjustRightInd w:val="0"/>
        <w:snapToGrid w:val="0"/>
        <w:spacing w:line="560" w:lineRule="exact"/>
        <w:ind w:firstLine="643" w:firstLineChars="200"/>
        <w:rPr>
          <w:rFonts w:ascii="Times New Roman" w:hAnsi="Times New Roman" w:eastAsia="方正仿宋_GBK" w:cs="Times New Roman"/>
          <w:sz w:val="32"/>
          <w:szCs w:val="22"/>
        </w:rPr>
      </w:pPr>
      <w:bookmarkStart w:id="186" w:name="_Hlk61269535"/>
      <w:r>
        <w:rPr>
          <w:rFonts w:hint="eastAsia" w:ascii="Times New Roman" w:hAnsi="Times New Roman" w:eastAsia="方正仿宋_GBK" w:cs="Times New Roman"/>
          <w:b/>
          <w:bCs/>
          <w:sz w:val="32"/>
          <w:szCs w:val="22"/>
        </w:rPr>
        <w:t>推进森林公园城市建设</w:t>
      </w:r>
      <w:bookmarkEnd w:id="186"/>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按照江东新区森林资源分布格局、结合当地特色资源等特征，加快构建“一屏两圈多点”的自然保护地发展布局。有序推进梧桐山、越王石、麻山嶂、新坑水库等自然保护地规划建设，完善界碑、界桩和指示牌等统一标识建设，建成一批市县镇级森林自然公园。加强古树名木资源保护，对百年以上的古树名木，编入县（市、区）古树名木名册。以河源梧桐山市级森林自然公园和河源越王石县级森林自然公园为重点，建设“</w:t>
      </w:r>
      <w:r>
        <w:rPr>
          <w:rFonts w:ascii="Times New Roman" w:hAnsi="Times New Roman" w:eastAsia="方正仿宋_GBK" w:cs="Times New Roman"/>
          <w:sz w:val="32"/>
          <w:szCs w:val="22"/>
        </w:rPr>
        <w:t>地质文化</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森林文化</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为游览主线的精品主题园区。</w:t>
      </w:r>
      <w:r>
        <w:rPr>
          <w:rFonts w:hint="eastAsia" w:ascii="Times New Roman" w:hAnsi="Times New Roman" w:eastAsia="方正仿宋_GBK" w:cs="Times New Roman"/>
          <w:sz w:val="32"/>
          <w:szCs w:val="22"/>
        </w:rPr>
        <w:t>依托广东省森林文化周，深入开展森林文化宣传活动。全面落实林长制，基本建立区、镇、村五级林长体系。加强对森林资源的监测监管，建立江东新区自然保护地监测数据库，制定江东新区林业行业信息采集制度。</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jc w:val="center"/>
              <w:rPr>
                <w:rFonts w:ascii="Times New Roman" w:hAnsi="Times New Roman" w:eastAsia="方正仿宋_GBK" w:cs="Times New Roman"/>
                <w:b/>
                <w:bCs/>
                <w:sz w:val="32"/>
                <w:szCs w:val="22"/>
              </w:rPr>
            </w:pPr>
            <w:r>
              <w:rPr>
                <w:rFonts w:hint="eastAsia" w:ascii="Times New Roman" w:hAnsi="Times New Roman" w:eastAsia="方正仿宋_GBK" w:cs="Times New Roman"/>
                <w:b/>
                <w:bCs/>
                <w:sz w:val="28"/>
                <w:szCs w:val="21"/>
              </w:rPr>
              <w:t xml:space="preserve">专栏7 </w:t>
            </w:r>
            <w:r>
              <w:rPr>
                <w:rFonts w:ascii="Times New Roman" w:hAnsi="Times New Roman" w:eastAsia="方正仿宋_GBK" w:cs="Times New Roman"/>
                <w:b/>
                <w:bCs/>
                <w:sz w:val="28"/>
                <w:szCs w:val="21"/>
              </w:rPr>
              <w:t xml:space="preserve"> </w:t>
            </w:r>
            <w:r>
              <w:rPr>
                <w:rFonts w:hint="eastAsia" w:ascii="Times New Roman" w:hAnsi="Times New Roman" w:eastAsia="方正仿宋_GBK" w:cs="Times New Roman"/>
                <w:b/>
                <w:bCs/>
                <w:sz w:val="28"/>
                <w:szCs w:val="21"/>
              </w:rPr>
              <w:t>自然保护地体系建设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rPr>
                <w:rFonts w:ascii="Times New Roman" w:hAnsi="Times New Roman" w:eastAsia="方正仿宋_GBK" w:cs="Times New Roman"/>
                <w:b/>
                <w:bCs/>
                <w:sz w:val="24"/>
              </w:rPr>
            </w:pPr>
            <w:r>
              <w:rPr>
                <w:rFonts w:hint="eastAsia" w:ascii="Times New Roman" w:hAnsi="Times New Roman" w:eastAsia="方正仿宋_GBK" w:cs="Times New Roman"/>
                <w:b/>
                <w:bCs/>
                <w:sz w:val="24"/>
              </w:rPr>
              <w:t>发展格局：“一屏两圈多点”</w:t>
            </w:r>
          </w:p>
          <w:p>
            <w:pPr>
              <w:adjustRightInd w:val="0"/>
              <w:snapToGrid w:val="0"/>
              <w:spacing w:line="600" w:lineRule="exact"/>
              <w:ind w:firstLine="482" w:firstLineChars="200"/>
              <w:rPr>
                <w:rFonts w:ascii="Times New Roman" w:hAnsi="Times New Roman" w:eastAsia="方正仿宋_GBK" w:cs="Times New Roman"/>
                <w:b/>
                <w:bCs/>
                <w:sz w:val="24"/>
              </w:rPr>
            </w:pPr>
            <w:r>
              <w:rPr>
                <w:rFonts w:hint="eastAsia" w:ascii="Times New Roman" w:hAnsi="Times New Roman" w:eastAsia="方正仿宋_GBK" w:cs="Times New Roman"/>
                <w:b/>
                <w:bCs/>
                <w:sz w:val="24"/>
              </w:rPr>
              <w:t>一屏：</w:t>
            </w:r>
            <w:r>
              <w:rPr>
                <w:rFonts w:hint="eastAsia" w:ascii="Times New Roman" w:hAnsi="Times New Roman" w:eastAsia="方正仿宋_GBK" w:cs="Times New Roman"/>
                <w:sz w:val="24"/>
              </w:rPr>
              <w:t>以马鞍山至麻山嶂山脊分水线整合相邻自然保护地串联成环，打造建设新坑水库市级湿地自然公园、麻山嶂市级森林自然公园为核心生态屏障带。</w:t>
            </w:r>
          </w:p>
          <w:p>
            <w:pPr>
              <w:adjustRightInd w:val="0"/>
              <w:snapToGrid w:val="0"/>
              <w:spacing w:line="600" w:lineRule="exact"/>
              <w:ind w:firstLine="482" w:firstLineChars="200"/>
              <w:rPr>
                <w:rFonts w:ascii="Times New Roman" w:hAnsi="Times New Roman" w:eastAsia="方正仿宋_GBK" w:cs="Times New Roman"/>
                <w:b/>
                <w:bCs/>
                <w:sz w:val="24"/>
              </w:rPr>
            </w:pPr>
            <w:r>
              <w:rPr>
                <w:rFonts w:hint="eastAsia" w:ascii="Times New Roman" w:hAnsi="Times New Roman" w:eastAsia="方正仿宋_GBK" w:cs="Times New Roman"/>
                <w:b/>
                <w:bCs/>
                <w:sz w:val="24"/>
              </w:rPr>
              <w:t>两圈：</w:t>
            </w:r>
            <w:r>
              <w:rPr>
                <w:rFonts w:hint="eastAsia" w:ascii="Times New Roman" w:hAnsi="Times New Roman" w:eastAsia="方正仿宋_GBK" w:cs="Times New Roman"/>
                <w:sz w:val="24"/>
              </w:rPr>
              <w:t>建设和完善南、北部区域的以河源梧桐山市级森林自然公园为森林休闲圈和以河源越王石县级森林自然公园为森林游憩圈两个特色发展圈。</w:t>
            </w:r>
          </w:p>
          <w:p>
            <w:pPr>
              <w:adjustRightInd w:val="0"/>
              <w:snapToGrid w:val="0"/>
              <w:spacing w:line="600" w:lineRule="exact"/>
              <w:ind w:firstLine="482" w:firstLineChars="200"/>
              <w:rPr>
                <w:rFonts w:ascii="Times New Roman" w:hAnsi="Times New Roman" w:eastAsia="方正仿宋_GBK" w:cs="Times New Roman"/>
                <w:b/>
                <w:bCs/>
                <w:sz w:val="24"/>
              </w:rPr>
            </w:pPr>
            <w:r>
              <w:rPr>
                <w:rFonts w:hint="eastAsia" w:ascii="Times New Roman" w:hAnsi="Times New Roman" w:eastAsia="方正仿宋_GBK" w:cs="Times New Roman"/>
                <w:b/>
                <w:bCs/>
                <w:sz w:val="24"/>
              </w:rPr>
              <w:t>多点：</w:t>
            </w:r>
            <w:r>
              <w:rPr>
                <w:rFonts w:hint="eastAsia" w:ascii="Times New Roman" w:hAnsi="Times New Roman" w:eastAsia="方正仿宋_GBK" w:cs="Times New Roman"/>
                <w:sz w:val="24"/>
              </w:rPr>
              <w:t>打造斩坑县级森林自然公园、临江禾坑镇级森林自然公园、古竹榴坑镇级森林自然公园、古竹榄溪沿江镇级森林自然公园、古竹榄溪大东坑镇级自然森林公园、古竹榴坑镇级自然等多点。</w:t>
            </w:r>
          </w:p>
          <w:p>
            <w:pPr>
              <w:adjustRightInd w:val="0"/>
              <w:snapToGrid w:val="0"/>
              <w:spacing w:line="600" w:lineRule="exact"/>
              <w:rPr>
                <w:rFonts w:ascii="Times New Roman" w:hAnsi="Times New Roman" w:eastAsia="方正仿宋_GBK" w:cs="Times New Roman"/>
                <w:b/>
                <w:bCs/>
                <w:sz w:val="24"/>
              </w:rPr>
            </w:pPr>
            <w:r>
              <w:rPr>
                <w:rFonts w:hint="eastAsia" w:ascii="Times New Roman" w:hAnsi="Times New Roman" w:eastAsia="方正仿宋_GBK" w:cs="Times New Roman"/>
                <w:b/>
                <w:bCs/>
                <w:sz w:val="24"/>
              </w:rPr>
              <w:t>建设内容：</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河源梧桐山市级森林自然公园：</w:t>
            </w:r>
            <w:r>
              <w:rPr>
                <w:rFonts w:hint="eastAsia" w:ascii="Times New Roman" w:hAnsi="Times New Roman" w:eastAsia="方正仿宋_GBK" w:cs="Times New Roman"/>
                <w:sz w:val="24"/>
              </w:rPr>
              <w:t>加快梧桐山市级森林公园整合优化后面积</w:t>
            </w:r>
            <w:r>
              <w:rPr>
                <w:rFonts w:ascii="Times New Roman" w:hAnsi="Times New Roman" w:eastAsia="方正仿宋_GBK" w:cs="Times New Roman"/>
                <w:sz w:val="24"/>
              </w:rPr>
              <w:t>169.1公顷的确定和编制《梧桐山市级森林自然公园总体规划》，</w:t>
            </w:r>
            <w:r>
              <w:rPr>
                <w:rFonts w:hint="eastAsia" w:ascii="Times New Roman" w:hAnsi="Times New Roman" w:eastAsia="方正仿宋_GBK" w:cs="Times New Roman"/>
                <w:sz w:val="24"/>
              </w:rPr>
              <w:t>同时</w:t>
            </w:r>
            <w:r>
              <w:rPr>
                <w:rFonts w:ascii="Times New Roman" w:hAnsi="Times New Roman" w:eastAsia="方正仿宋_GBK" w:cs="Times New Roman"/>
                <w:sz w:val="24"/>
              </w:rPr>
              <w:t>将河源梧桐山市级森林公园更名为河源梧桐山市级森林自然公园</w:t>
            </w:r>
            <w:r>
              <w:rPr>
                <w:rFonts w:hint="eastAsia" w:ascii="Times New Roman" w:hAnsi="Times New Roman" w:eastAsia="方正仿宋_GBK" w:cs="Times New Roman"/>
                <w:sz w:val="24"/>
              </w:rPr>
              <w:t>。</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河源越王石县级森林自然公园：</w:t>
            </w:r>
            <w:r>
              <w:rPr>
                <w:rFonts w:hint="eastAsia" w:ascii="Times New Roman" w:hAnsi="Times New Roman" w:eastAsia="方正仿宋_GBK" w:cs="Times New Roman"/>
                <w:sz w:val="24"/>
              </w:rPr>
              <w:t>编制《河源越王石县级森林自然公园总体规划》，同时将河源越王石县级森林公园升级为市级森林自然公园</w:t>
            </w:r>
            <w:r>
              <w:rPr>
                <w:rFonts w:ascii="Times New Roman" w:hAnsi="Times New Roman" w:eastAsia="方正仿宋_GBK" w:cs="Times New Roman"/>
                <w:sz w:val="24"/>
              </w:rPr>
              <w:t>。</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河源新坑水库市级湿地自然公园：</w:t>
            </w:r>
            <w:r>
              <w:rPr>
                <w:rFonts w:hint="eastAsia" w:ascii="Times New Roman" w:hAnsi="Times New Roman" w:eastAsia="方正仿宋_GBK" w:cs="Times New Roman"/>
                <w:sz w:val="24"/>
              </w:rPr>
              <w:t>创建河源新坑水库市级湿地自然公园，创建湿地自然公园面积</w:t>
            </w:r>
            <w:r>
              <w:rPr>
                <w:rFonts w:ascii="Times New Roman" w:hAnsi="Times New Roman" w:eastAsia="方正仿宋_GBK" w:cs="Times New Roman"/>
                <w:sz w:val="24"/>
              </w:rPr>
              <w:t>78.77公顷，编制《江东新区新坑水库县级湿地自然公园》，由江东新区新坑水库管理处加挂湿地自然公园管理机构</w:t>
            </w:r>
            <w:r>
              <w:rPr>
                <w:rFonts w:hint="eastAsia" w:ascii="Times New Roman" w:hAnsi="Times New Roman" w:eastAsia="方正仿宋_GBK" w:cs="Times New Roman"/>
                <w:sz w:val="24"/>
              </w:rPr>
              <w:t>。</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河源麻山嶂市级森林自然公园：</w:t>
            </w:r>
            <w:r>
              <w:rPr>
                <w:rFonts w:hint="eastAsia" w:ascii="Times New Roman" w:hAnsi="Times New Roman" w:eastAsia="方正仿宋_GBK" w:cs="Times New Roman"/>
                <w:sz w:val="24"/>
              </w:rPr>
              <w:t>创建河源麻山嶂市级森林自然公园，创建森林自然面积</w:t>
            </w:r>
            <w:r>
              <w:rPr>
                <w:rFonts w:ascii="Times New Roman" w:hAnsi="Times New Roman" w:eastAsia="方正仿宋_GBK" w:cs="Times New Roman"/>
                <w:sz w:val="24"/>
              </w:rPr>
              <w:t>415.38公顷，并编制《河源麻山嶂市级森林自然公园总体规划》。</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江东新区斩坑县级森林自然公园：</w:t>
            </w:r>
            <w:r>
              <w:rPr>
                <w:rFonts w:hint="eastAsia" w:ascii="Times New Roman" w:hAnsi="Times New Roman" w:eastAsia="方正仿宋_GBK" w:cs="Times New Roman"/>
                <w:sz w:val="24"/>
              </w:rPr>
              <w:t>创建临江斩坑镇级森林自然公园，创建森林自然公园面积</w:t>
            </w:r>
            <w:r>
              <w:rPr>
                <w:rFonts w:ascii="Times New Roman" w:hAnsi="Times New Roman" w:eastAsia="方正仿宋_GBK" w:cs="Times New Roman"/>
                <w:sz w:val="24"/>
              </w:rPr>
              <w:t>623公顷，并编制《临江斩坑镇级森林自然公园总体规划》</w:t>
            </w:r>
            <w:r>
              <w:rPr>
                <w:rFonts w:hint="eastAsia" w:ascii="Times New Roman" w:hAnsi="Times New Roman" w:eastAsia="方正仿宋_GBK" w:cs="Times New Roman"/>
                <w:sz w:val="24"/>
              </w:rPr>
              <w:t>。</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临江禾坑镇级森林自然公园：</w:t>
            </w:r>
            <w:r>
              <w:rPr>
                <w:rFonts w:hint="eastAsia" w:ascii="Times New Roman" w:hAnsi="Times New Roman" w:eastAsia="方正仿宋_GBK" w:cs="Times New Roman"/>
                <w:sz w:val="24"/>
              </w:rPr>
              <w:t>创建临江禾坑镇级森林自然公园，创建湿地面积</w:t>
            </w:r>
            <w:r>
              <w:rPr>
                <w:rFonts w:ascii="Times New Roman" w:hAnsi="Times New Roman" w:eastAsia="方正仿宋_GBK" w:cs="Times New Roman"/>
                <w:sz w:val="24"/>
              </w:rPr>
              <w:t>63公顷，并编制《临江禾坑镇级森林自然公园总体规划》。</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古竹榴坑镇级森林自然公园：</w:t>
            </w:r>
            <w:r>
              <w:rPr>
                <w:rFonts w:hint="eastAsia" w:ascii="Times New Roman" w:hAnsi="Times New Roman" w:eastAsia="方正仿宋_GBK" w:cs="Times New Roman"/>
                <w:sz w:val="24"/>
              </w:rPr>
              <w:t>创建古竹榴坑镇级森林自然公园，创建森林自然公园面积</w:t>
            </w:r>
            <w:r>
              <w:rPr>
                <w:rFonts w:ascii="Times New Roman" w:hAnsi="Times New Roman" w:eastAsia="方正仿宋_GBK" w:cs="Times New Roman"/>
                <w:sz w:val="24"/>
              </w:rPr>
              <w:t>111.27公顷，并编制《古竹榴坑镇级森林自然公园总体规划》</w:t>
            </w:r>
            <w:r>
              <w:rPr>
                <w:rFonts w:hint="eastAsia" w:ascii="Times New Roman" w:hAnsi="Times New Roman" w:eastAsia="方正仿宋_GBK" w:cs="Times New Roman"/>
                <w:sz w:val="24"/>
              </w:rPr>
              <w:t>。</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古竹榄溪鲤鱼头镇级森林自然公园：</w:t>
            </w:r>
            <w:r>
              <w:rPr>
                <w:rFonts w:hint="eastAsia" w:ascii="Times New Roman" w:hAnsi="Times New Roman" w:eastAsia="方正仿宋_GBK" w:cs="Times New Roman"/>
                <w:sz w:val="24"/>
              </w:rPr>
              <w:t>创建古竹榄溪鲤鱼头镇级森林自然公园，创建湿地面积</w:t>
            </w:r>
            <w:r>
              <w:rPr>
                <w:rFonts w:ascii="Times New Roman" w:hAnsi="Times New Roman" w:eastAsia="方正仿宋_GBK" w:cs="Times New Roman"/>
                <w:sz w:val="24"/>
              </w:rPr>
              <w:t>87.67公顷，并编制《古竹榄溪鲤鱼头镇级森林自然公园总体规划》。</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古竹榄溪大东坑镇级森林自然公园：</w:t>
            </w:r>
            <w:r>
              <w:rPr>
                <w:rFonts w:hint="eastAsia" w:ascii="Times New Roman" w:hAnsi="Times New Roman" w:eastAsia="方正仿宋_GBK" w:cs="Times New Roman"/>
                <w:sz w:val="24"/>
              </w:rPr>
              <w:t>创建古竹榄溪大东坑镇级森林自然公园，创建湿地面积</w:t>
            </w:r>
            <w:r>
              <w:rPr>
                <w:rFonts w:ascii="Times New Roman" w:hAnsi="Times New Roman" w:eastAsia="方正仿宋_GBK" w:cs="Times New Roman"/>
                <w:sz w:val="24"/>
              </w:rPr>
              <w:t>21.79公顷，并编制《古竹榄溪大东坑镇级森林自然公园总体规划》</w:t>
            </w:r>
            <w:r>
              <w:rPr>
                <w:rFonts w:hint="eastAsia" w:ascii="Times New Roman" w:hAnsi="Times New Roman" w:eastAsia="方正仿宋_GBK" w:cs="Times New Roman"/>
                <w:sz w:val="24"/>
              </w:rPr>
              <w:t>。</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古竹上洞镇级森林自然公园：</w:t>
            </w:r>
            <w:r>
              <w:rPr>
                <w:rFonts w:hint="eastAsia" w:ascii="Times New Roman" w:hAnsi="Times New Roman" w:eastAsia="方正仿宋_GBK" w:cs="Times New Roman"/>
                <w:sz w:val="24"/>
              </w:rPr>
              <w:t>创建古竹上洞镇级森林自然公园，创建湿地面积</w:t>
            </w:r>
            <w:r>
              <w:rPr>
                <w:rFonts w:ascii="Times New Roman" w:hAnsi="Times New Roman" w:eastAsia="方正仿宋_GBK" w:cs="Times New Roman"/>
                <w:sz w:val="24"/>
              </w:rPr>
              <w:t>23.28公顷，并编制《古竹榄溪大东坑镇级森林自然公园总体规划》。</w:t>
            </w:r>
          </w:p>
        </w:tc>
      </w:tr>
    </w:tbl>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187" w:name="_Toc61279543"/>
      <w:bookmarkStart w:id="188" w:name="_Toc67502354"/>
      <w:r>
        <w:rPr>
          <w:rFonts w:hint="eastAsia" w:ascii="Times New Roman" w:hAnsi="Times New Roman" w:eastAsia="方正楷体_GBK" w:cs="Times New Roman"/>
          <w:kern w:val="0"/>
          <w:sz w:val="32"/>
          <w:szCs w:val="32"/>
        </w:rPr>
        <w:t>第二节 加强生态环境治理</w:t>
      </w:r>
      <w:bookmarkEnd w:id="187"/>
      <w:r>
        <w:rPr>
          <w:rFonts w:hint="eastAsia" w:ascii="Times New Roman" w:hAnsi="Times New Roman" w:eastAsia="方正楷体_GBK" w:cs="Times New Roman"/>
          <w:kern w:val="0"/>
          <w:sz w:val="32"/>
          <w:szCs w:val="32"/>
        </w:rPr>
        <w:t>能力建设</w:t>
      </w:r>
      <w:bookmarkEnd w:id="188"/>
    </w:p>
    <w:p>
      <w:pPr>
        <w:adjustRightInd w:val="0"/>
        <w:snapToGrid w:val="0"/>
        <w:spacing w:line="560" w:lineRule="exact"/>
        <w:ind w:firstLine="643" w:firstLineChars="200"/>
        <w:rPr>
          <w:rFonts w:ascii="Times New Roman" w:hAnsi="Times New Roman" w:eastAsia="方正仿宋_GBK" w:cs="Times New Roman"/>
          <w:sz w:val="32"/>
          <w:szCs w:val="22"/>
        </w:rPr>
      </w:pPr>
      <w:bookmarkStart w:id="189" w:name="_Hlk61269641"/>
      <w:r>
        <w:rPr>
          <w:rFonts w:hint="eastAsia" w:ascii="Times New Roman" w:hAnsi="Times New Roman" w:eastAsia="方正仿宋_GBK" w:cs="Times New Roman"/>
          <w:b/>
          <w:bCs/>
          <w:sz w:val="32"/>
          <w:szCs w:val="22"/>
        </w:rPr>
        <w:t>严格实施水环境保护</w:t>
      </w:r>
      <w:bookmarkEnd w:id="189"/>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坚持预防为主、防治结合、综合治理原则，加强东江一级支流柏埔河、古竹水环境保护。全力落实河（湖）长制，全面推进河湖警长制。推进城市起步区滨江功能带规划建设。对区内各工业企业，严格设置地下水污染防渗体系，加强应急水源区地下水保护力度，定期进行地下水环境取样监测。严格限制高污染行业企业，禁止在东江流域新建稀土分离、制浆制造业等企业，严格控制电镀、印染等项目污废水排放量。加强农业种植管理及农业污染防治工作，减少对水环境影响。</w:t>
      </w:r>
    </w:p>
    <w:p>
      <w:pPr>
        <w:adjustRightInd w:val="0"/>
        <w:snapToGrid w:val="0"/>
        <w:spacing w:line="560" w:lineRule="exact"/>
        <w:ind w:firstLine="643" w:firstLineChars="200"/>
        <w:rPr>
          <w:rFonts w:ascii="Times New Roman" w:hAnsi="Times New Roman" w:eastAsia="方正仿宋_GBK" w:cs="Times New Roman"/>
          <w:sz w:val="32"/>
          <w:szCs w:val="22"/>
        </w:rPr>
      </w:pPr>
      <w:bookmarkStart w:id="190" w:name="_Hlk61269649"/>
      <w:r>
        <w:rPr>
          <w:rFonts w:hint="eastAsia" w:ascii="Times New Roman" w:hAnsi="Times New Roman" w:eastAsia="方正仿宋_GBK" w:cs="Times New Roman"/>
          <w:b/>
          <w:bCs/>
          <w:sz w:val="32"/>
          <w:szCs w:val="22"/>
        </w:rPr>
        <w:t>巩固大气污染总量控制</w:t>
      </w:r>
      <w:bookmarkEnd w:id="190"/>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强化区域空气质量联防联控机制。实施排污许可证制度，严格控制温室气体排放及扬尘污染，加强对城东片区的扬尘污染控制。依托整体布局和环保目标进行企业选址，鼓励新区企业采用先进生产、制造技术，推行清洁生产。在大气环境优先保护区要求做到禁止新建、改扩建排放大气污染物的工业项目，对新区范围内</w:t>
      </w:r>
      <w:r>
        <w:rPr>
          <w:rFonts w:ascii="Times New Roman" w:hAnsi="Times New Roman" w:eastAsia="方正仿宋_GBK" w:cs="Times New Roman"/>
          <w:sz w:val="32"/>
          <w:szCs w:val="22"/>
        </w:rPr>
        <w:t>VOCS重点监管企业开展现场执法检查，严查废气收集、处理设施未正常运行的企业</w:t>
      </w:r>
      <w:r>
        <w:rPr>
          <w:rFonts w:hint="eastAsia" w:ascii="Times New Roman" w:hAnsi="Times New Roman" w:eastAsia="方正仿宋_GBK" w:cs="Times New Roman"/>
          <w:sz w:val="32"/>
          <w:szCs w:val="22"/>
        </w:rPr>
        <w:t>。落实废</w:t>
      </w:r>
      <w:r>
        <w:rPr>
          <w:rFonts w:hint="eastAsia" w:ascii="Times New Roman" w:hAnsi="Times New Roman" w:eastAsia="方正仿宋_GBK" w:cs="Times New Roman"/>
          <w:sz w:val="32"/>
          <w:szCs w:val="22"/>
          <w:lang w:val="en-US" w:eastAsia="zh-CN"/>
        </w:rPr>
        <w:t>气</w:t>
      </w:r>
      <w:r>
        <w:rPr>
          <w:rFonts w:hint="eastAsia" w:ascii="Times New Roman" w:hAnsi="Times New Roman" w:eastAsia="方正仿宋_GBK" w:cs="Times New Roman"/>
          <w:sz w:val="32"/>
          <w:szCs w:val="22"/>
        </w:rPr>
        <w:t>治理措施，加强落实企业脱硫、脱氮、除尘措施，保证污染物排放量达标，减少工业废</w:t>
      </w:r>
      <w:r>
        <w:rPr>
          <w:rFonts w:hint="eastAsia" w:ascii="Times New Roman" w:hAnsi="Times New Roman" w:eastAsia="方正仿宋_GBK" w:cs="Times New Roman"/>
          <w:sz w:val="32"/>
          <w:szCs w:val="22"/>
          <w:lang w:val="en-US" w:eastAsia="zh-CN"/>
        </w:rPr>
        <w:t>气</w:t>
      </w:r>
      <w:r>
        <w:rPr>
          <w:rFonts w:hint="eastAsia" w:ascii="Times New Roman" w:hAnsi="Times New Roman" w:eastAsia="方正仿宋_GBK" w:cs="Times New Roman"/>
          <w:sz w:val="32"/>
          <w:szCs w:val="22"/>
        </w:rPr>
        <w:t>污染，保障大气污染综合指数达到优质水平。</w:t>
      </w:r>
    </w:p>
    <w:p>
      <w:pPr>
        <w:adjustRightInd w:val="0"/>
        <w:snapToGrid w:val="0"/>
        <w:spacing w:line="560" w:lineRule="exact"/>
        <w:ind w:firstLine="643" w:firstLineChars="200"/>
        <w:rPr>
          <w:rFonts w:ascii="Times New Roman" w:hAnsi="Times New Roman" w:eastAsia="方正仿宋_GBK" w:cs="Times New Roman"/>
          <w:sz w:val="32"/>
          <w:szCs w:val="22"/>
        </w:rPr>
      </w:pPr>
      <w:bookmarkStart w:id="191" w:name="_Hlk61269658"/>
      <w:r>
        <w:rPr>
          <w:rFonts w:hint="eastAsia" w:ascii="Times New Roman" w:hAnsi="Times New Roman" w:eastAsia="方正仿宋_GBK" w:cs="Times New Roman"/>
          <w:b/>
          <w:bCs/>
          <w:sz w:val="32"/>
          <w:szCs w:val="22"/>
        </w:rPr>
        <w:t>强化环境噪声污染防治</w:t>
      </w:r>
      <w:bookmarkEnd w:id="191"/>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完善噪声监测网络，健全污染源管理制度，强化声环境达标管理。严格控制新区交通、建筑施工、社会生活和工业等噪声污染，确保重点排放源噪声排放达标。建立完善噪声敏感区保护制度，将新区的居民区、学校、医疗和养老机构周边区域纳入噪声敏感区管理，改善敏感区声环境质量。建立民用建筑隔声质量验收制度，严格执行室内声环境监测。加强高铁新城片区等重点商圈的噪音检测，在重点噪声污染源安装噪声自动监测仪器，设置环境噪声自动监测系统，加强重点源监管。</w:t>
      </w:r>
    </w:p>
    <w:p>
      <w:pPr>
        <w:adjustRightInd w:val="0"/>
        <w:snapToGrid w:val="0"/>
        <w:spacing w:line="580" w:lineRule="exact"/>
        <w:ind w:firstLine="643" w:firstLineChars="200"/>
        <w:rPr>
          <w:rFonts w:ascii="Times New Roman" w:hAnsi="Times New Roman" w:eastAsia="方正仿宋_GBK" w:cs="Times New Roman"/>
          <w:sz w:val="32"/>
          <w:szCs w:val="22"/>
        </w:rPr>
      </w:pPr>
      <w:bookmarkStart w:id="192" w:name="_Hlk61269670"/>
      <w:r>
        <w:rPr>
          <w:rFonts w:hint="eastAsia" w:ascii="Times New Roman" w:hAnsi="Times New Roman" w:eastAsia="方正仿宋_GBK" w:cs="Times New Roman"/>
          <w:b/>
          <w:bCs/>
          <w:sz w:val="32"/>
          <w:szCs w:val="22"/>
        </w:rPr>
        <w:t>杜绝新增土壤污染</w:t>
      </w:r>
      <w:bookmarkEnd w:id="192"/>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加强土壤污染管控，落实分级分类管理规定。将耕地和集中式饮用水水源地作为土壤环境保护的优先区域，禁止在优先区域内新建有色金属、皮革制品、化工医药、铅蓄电池制造等项目。加强对重点企业、集中式饮用水水源地、废弃物堆存场地等周边土壤进行监测，实施土壤污染综合治理。引导江东新区产业园区北片区污水处理厂、江东新区古竹污水处理厂等规范处理污水处理厂污泥，完善垃圾处理设施防渗措施。禁止在农业生产中使用含重金属离子、难降解的有机污染物，严格控制稀土农用。</w:t>
      </w:r>
    </w:p>
    <w:p>
      <w:pPr>
        <w:adjustRightInd w:val="0"/>
        <w:snapToGrid w:val="0"/>
        <w:spacing w:line="580" w:lineRule="exact"/>
        <w:ind w:firstLine="643" w:firstLineChars="200"/>
        <w:rPr>
          <w:rFonts w:ascii="Times New Roman" w:hAnsi="Times New Roman" w:eastAsia="方正仿宋_GBK" w:cs="Times New Roman"/>
          <w:sz w:val="32"/>
          <w:szCs w:val="22"/>
        </w:rPr>
      </w:pPr>
      <w:bookmarkStart w:id="193" w:name="_Hlk61269683"/>
      <w:r>
        <w:rPr>
          <w:rFonts w:hint="eastAsia" w:ascii="Times New Roman" w:hAnsi="Times New Roman" w:eastAsia="方正仿宋_GBK" w:cs="Times New Roman"/>
          <w:b/>
          <w:bCs/>
          <w:sz w:val="32"/>
          <w:szCs w:val="22"/>
        </w:rPr>
        <w:t>加强固体废物管理</w:t>
      </w:r>
      <w:bookmarkEnd w:id="193"/>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提高工业废物、建筑废物、农林废物的利用量和利用比例，鼓励利用固体废弃物生产水泥、混凝土制品、陶粒等新型建材，生产路面透水砖、再生混凝土、市政设施制品等建材产品。加强医疗垃圾等危险废弃物处置利用，要求医疗垃圾独立收集、运输、贮存和集中无害化处理，确保医疗垃圾无害化处理率达到</w:t>
      </w:r>
      <w:r>
        <w:rPr>
          <w:rFonts w:ascii="Times New Roman" w:hAnsi="Times New Roman" w:eastAsia="方正仿宋_GBK" w:cs="Times New Roman"/>
          <w:sz w:val="32"/>
          <w:szCs w:val="22"/>
        </w:rPr>
        <w:t>100%。</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jc w:val="center"/>
              <w:rPr>
                <w:rFonts w:ascii="Times New Roman" w:hAnsi="Times New Roman" w:eastAsia="方正仿宋_GBK" w:cs="Times New Roman"/>
                <w:b/>
                <w:bCs/>
                <w:sz w:val="32"/>
                <w:szCs w:val="22"/>
              </w:rPr>
            </w:pPr>
            <w:bookmarkStart w:id="194" w:name="_Toc59798221"/>
            <w:r>
              <w:rPr>
                <w:rFonts w:hint="eastAsia" w:ascii="Times New Roman" w:hAnsi="Times New Roman" w:eastAsia="方正仿宋_GBK" w:cs="Times New Roman"/>
                <w:b/>
                <w:bCs/>
                <w:sz w:val="28"/>
                <w:szCs w:val="21"/>
              </w:rPr>
              <w:t xml:space="preserve">专栏8 </w:t>
            </w:r>
            <w:r>
              <w:rPr>
                <w:rFonts w:ascii="Times New Roman" w:hAnsi="Times New Roman" w:eastAsia="方正仿宋_GBK" w:cs="Times New Roman"/>
                <w:b/>
                <w:bCs/>
                <w:sz w:val="28"/>
                <w:szCs w:val="21"/>
              </w:rPr>
              <w:t xml:space="preserve"> </w:t>
            </w:r>
            <w:r>
              <w:rPr>
                <w:rFonts w:hint="eastAsia" w:ascii="Times New Roman" w:hAnsi="Times New Roman" w:eastAsia="方正仿宋_GBK" w:cs="Times New Roman"/>
                <w:b/>
                <w:bCs/>
                <w:sz w:val="28"/>
                <w:szCs w:val="21"/>
              </w:rPr>
              <w:t>生态环境保护重点工程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水环境综合整治工程</w:t>
            </w:r>
            <w:r>
              <w:rPr>
                <w:rFonts w:ascii="Times New Roman" w:hAnsi="Times New Roman" w:eastAsia="方正仿宋_GBK" w:cs="Times New Roman"/>
                <w:b/>
                <w:bCs/>
                <w:sz w:val="24"/>
              </w:rPr>
              <w:t>：</w:t>
            </w:r>
            <w:r>
              <w:rPr>
                <w:rFonts w:ascii="Times New Roman" w:hAnsi="Times New Roman" w:eastAsia="方正仿宋_GBK" w:cs="Times New Roman"/>
                <w:sz w:val="24"/>
              </w:rPr>
              <w:t>雨污分流工程；污水处理厂配套管网建设工程；江东新区面上村污水处理设施建设；农村雨污分流改建工程；农村分散式饮用水水源地综合整治项目；柏埔河水环境综合整治工程；元塘河水环境综合整治工程；义容河水环境综合整治工程；东江东岸水生态环境保护综合整治；城东水质净化厂；排污口清理整治工程；禽畜养殖综合治理工程。</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大气环境改善工程</w:t>
            </w:r>
            <w:r>
              <w:rPr>
                <w:rFonts w:ascii="Times New Roman" w:hAnsi="Times New Roman" w:eastAsia="方正仿宋_GBK" w:cs="Times New Roman"/>
                <w:b/>
                <w:bCs/>
                <w:sz w:val="24"/>
              </w:rPr>
              <w:t>：</w:t>
            </w:r>
            <w:r>
              <w:rPr>
                <w:rFonts w:ascii="Times New Roman" w:hAnsi="Times New Roman" w:eastAsia="方正仿宋_GBK" w:cs="Times New Roman"/>
                <w:sz w:val="24"/>
              </w:rPr>
              <w:t>工业区卫生防护带工程；燃气工程；空气净化降尘整治项目；VOCs污染整治工程。</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土壤环境整治工程</w:t>
            </w:r>
            <w:r>
              <w:rPr>
                <w:rFonts w:ascii="Times New Roman" w:hAnsi="Times New Roman" w:eastAsia="方正仿宋_GBK" w:cs="Times New Roman"/>
                <w:b/>
                <w:bCs/>
                <w:sz w:val="24"/>
              </w:rPr>
              <w:t>：</w:t>
            </w:r>
            <w:r>
              <w:rPr>
                <w:rFonts w:ascii="Times New Roman" w:hAnsi="Times New Roman" w:eastAsia="方正仿宋_GBK" w:cs="Times New Roman"/>
                <w:sz w:val="24"/>
              </w:rPr>
              <w:t>土壤本底值调查研究项目；土壤环境监管能力项目；土壤综合治理工程。</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固体废物污染防治工程</w:t>
            </w:r>
            <w:r>
              <w:rPr>
                <w:rFonts w:ascii="Times New Roman" w:hAnsi="Times New Roman" w:eastAsia="方正仿宋_GBK" w:cs="Times New Roman"/>
                <w:b/>
                <w:bCs/>
                <w:sz w:val="24"/>
              </w:rPr>
              <w:t>：</w:t>
            </w:r>
            <w:r>
              <w:rPr>
                <w:rFonts w:ascii="Times New Roman" w:hAnsi="Times New Roman" w:eastAsia="方正仿宋_GBK" w:cs="Times New Roman"/>
                <w:sz w:val="24"/>
              </w:rPr>
              <w:t>污泥处置工程；工业废物处置工程；河源市热力发电厂项目；电子废物回收工程；有害垃圾处置项目；厨余垃圾处置中心。</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风险防控工程</w:t>
            </w:r>
            <w:r>
              <w:rPr>
                <w:rFonts w:ascii="Times New Roman" w:hAnsi="Times New Roman" w:eastAsia="方正仿宋_GBK" w:cs="Times New Roman"/>
                <w:b/>
                <w:bCs/>
                <w:sz w:val="24"/>
              </w:rPr>
              <w:t>：</w:t>
            </w:r>
            <w:r>
              <w:rPr>
                <w:rFonts w:ascii="Times New Roman" w:hAnsi="Times New Roman" w:eastAsia="方正仿宋_GBK" w:cs="Times New Roman"/>
                <w:sz w:val="24"/>
              </w:rPr>
              <w:t>环境应急标准化建设项目；环境应急物资信息库建设工程；风险监控系统建设项目。</w:t>
            </w:r>
          </w:p>
          <w:p>
            <w:pPr>
              <w:adjustRightInd w:val="0"/>
              <w:snapToGrid w:val="0"/>
              <w:spacing w:line="600" w:lineRule="exact"/>
              <w:ind w:firstLine="482" w:firstLineChars="200"/>
              <w:rPr>
                <w:rFonts w:ascii="Times New Roman" w:hAnsi="Times New Roman" w:eastAsia="方正仿宋_GBK" w:cs="Times New Roman"/>
                <w:b/>
                <w:bCs/>
                <w:sz w:val="24"/>
              </w:rPr>
            </w:pPr>
            <w:r>
              <w:rPr>
                <w:rFonts w:hint="eastAsia" w:ascii="Times New Roman" w:hAnsi="Times New Roman" w:eastAsia="方正仿宋_GBK" w:cs="Times New Roman"/>
                <w:b/>
                <w:bCs/>
                <w:sz w:val="24"/>
              </w:rPr>
              <w:t>生态保护建设工程</w:t>
            </w:r>
            <w:r>
              <w:rPr>
                <w:rFonts w:ascii="Times New Roman" w:hAnsi="Times New Roman" w:eastAsia="方正仿宋_GBK" w:cs="Times New Roman"/>
                <w:b/>
                <w:bCs/>
                <w:sz w:val="24"/>
              </w:rPr>
              <w:t>：</w:t>
            </w:r>
            <w:r>
              <w:rPr>
                <w:rFonts w:ascii="Times New Roman" w:hAnsi="Times New Roman" w:eastAsia="方正仿宋_GBK" w:cs="Times New Roman"/>
                <w:sz w:val="24"/>
              </w:rPr>
              <w:t>生态廊道建设工程；植被保护工程；林分改造工程；森林公园建设工程；碧道建设工程；河源生态环保城市会客厅项目。</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环保能力建设工程</w:t>
            </w:r>
            <w:r>
              <w:rPr>
                <w:rFonts w:ascii="Times New Roman" w:hAnsi="Times New Roman" w:eastAsia="方正仿宋_GBK" w:cs="Times New Roman"/>
                <w:b/>
                <w:bCs/>
                <w:sz w:val="24"/>
              </w:rPr>
              <w:t>：</w:t>
            </w:r>
            <w:r>
              <w:rPr>
                <w:rFonts w:ascii="Times New Roman" w:hAnsi="Times New Roman" w:eastAsia="方正仿宋_GBK" w:cs="Times New Roman"/>
                <w:sz w:val="24"/>
              </w:rPr>
              <w:t>环保监测设备建设；环境监察能力建设；智慧江东平台。</w:t>
            </w:r>
          </w:p>
        </w:tc>
      </w:tr>
    </w:tbl>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195" w:name="_Toc61279544"/>
      <w:bookmarkStart w:id="196" w:name="_Toc67502355"/>
      <w:r>
        <w:rPr>
          <w:rFonts w:hint="eastAsia" w:ascii="Times New Roman" w:hAnsi="Times New Roman" w:eastAsia="方正楷体_GBK" w:cs="Times New Roman"/>
          <w:kern w:val="0"/>
          <w:sz w:val="32"/>
          <w:szCs w:val="32"/>
        </w:rPr>
        <w:t>第三节 推进绿色低碳循环发展</w:t>
      </w:r>
      <w:bookmarkEnd w:id="194"/>
      <w:bookmarkEnd w:id="195"/>
      <w:bookmarkEnd w:id="196"/>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大力发展绿色产业。</w:t>
      </w:r>
      <w:r>
        <w:rPr>
          <w:rFonts w:hint="eastAsia" w:ascii="Times New Roman" w:hAnsi="Times New Roman" w:eastAsia="方正仿宋_GBK" w:cs="Times New Roman"/>
          <w:sz w:val="32"/>
          <w:szCs w:val="22"/>
        </w:rPr>
        <w:t>发展绿色工业，主动承接大湾区绿色产业疏解项目，培育壮大节能环保、清洁能源、生物医药等资源节约型和环境友好型产业。发展循环经济，通过高温焚烧发电技术、更先进的烟气净化技术和生化堆肥，实现生活垃圾的资源化、减量化和无害化。建立完善的废旧物品分类、回收、处理、再利用网络体系，逐步扩大废旧家电、报废汽车、废旧轮胎、废旧塑料、废纸、厨房垃圾等废弃物回收再利用规模，提高废旧物资的资源再生化水平。鼓励新区企业研发应用先进技术，改进污水处理工艺和设备，提高污水处理能力和再生水利用水平。出台污泥处理扶持政策，推动企业回收再利用污泥，逐步提高污泥无害化处置率。</w:t>
      </w:r>
    </w:p>
    <w:p>
      <w:pPr>
        <w:adjustRightInd w:val="0"/>
        <w:snapToGrid w:val="0"/>
        <w:spacing w:line="580" w:lineRule="exact"/>
        <w:ind w:firstLine="643" w:firstLineChars="200"/>
        <w:rPr>
          <w:rFonts w:ascii="Times New Roman" w:hAnsi="Times New Roman" w:eastAsia="方正仿宋_GBK" w:cs="Times New Roman"/>
          <w:sz w:val="32"/>
          <w:szCs w:val="22"/>
        </w:rPr>
      </w:pPr>
      <w:bookmarkStart w:id="197" w:name="_Toc59798222"/>
      <w:r>
        <w:rPr>
          <w:rFonts w:hint="eastAsia" w:ascii="Times New Roman" w:hAnsi="Times New Roman" w:eastAsia="方正仿宋_GBK" w:cs="Times New Roman"/>
          <w:b/>
          <w:bCs/>
          <w:sz w:val="32"/>
          <w:szCs w:val="22"/>
        </w:rPr>
        <w:t>推行绿色生活方式。</w:t>
      </w:r>
      <w:r>
        <w:rPr>
          <w:rFonts w:hint="eastAsia" w:ascii="Times New Roman" w:hAnsi="Times New Roman" w:eastAsia="方正仿宋_GBK" w:cs="Times New Roman"/>
          <w:sz w:val="32"/>
          <w:szCs w:val="22"/>
        </w:rPr>
        <w:t>增强公众低碳环保意识。积极开展多形式宣传活动，引导公众低碳生活方式和行为。推广绿色生活行为准则，开展以生活方式绿色化为主题的互动式教育，利用互联网宣传绿色节能低碳生活方式。创建一批绿色家庭、绿色社区、绿色学校。积极推广绿色建筑、绿色智慧住区建设。制定和完善绿色消费指南，引导抵制和谴责过度消费、奢侈消费、浪费资源能源等行为。培育低碳文化，推行低碳服务。引导适度消费，抑制不合理消费，推动绿色饮食，落实《河源市关于进一步加强塑料污染治理实施方案》，减少一次性用品使用，推广使用低碳产品。引导低碳住房需求模式。倡导公共交通、共乘交通、自行车、步行等低碳出行方式。加强青年的气候意识培养，倡导采取实际行动减少温室气体排放。</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198" w:name="_Toc61279545"/>
      <w:bookmarkStart w:id="199" w:name="_Toc67502356"/>
      <w:r>
        <w:rPr>
          <w:rFonts w:hint="eastAsia" w:ascii="Times New Roman" w:hAnsi="Times New Roman" w:eastAsia="方正楷体_GBK" w:cs="Times New Roman"/>
          <w:kern w:val="0"/>
          <w:sz w:val="32"/>
          <w:szCs w:val="32"/>
        </w:rPr>
        <w:t>第四节 构建现代环境治理体系</w:t>
      </w:r>
      <w:bookmarkEnd w:id="197"/>
      <w:bookmarkEnd w:id="198"/>
      <w:bookmarkEnd w:id="199"/>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完善落实责任体系和监督制衡机制。</w:t>
      </w:r>
      <w:r>
        <w:rPr>
          <w:rFonts w:hint="eastAsia" w:ascii="Times New Roman" w:hAnsi="Times New Roman" w:eastAsia="方正仿宋_GBK" w:cs="Times New Roman"/>
          <w:sz w:val="32"/>
          <w:szCs w:val="22"/>
        </w:rPr>
        <w:t>实行地方党委和政府领导成员生态文明建设“一岗双责”、“党政同责”，严格落实《广东省党政领导干部生态环境损害责任追究实施细则》，建立常态化的自然资源资产和环境责任离任审计机制。强化生产者环保责任，深入实施企业环境信用评价制度和环境违法企业“黑名单”制度，全面落实“双随机、一公开”监管机制。不断拓宽公众参与渠道，健全公众监督机制，大力构筑政府主导、企业主体、社会公众参与的生态环境治理体系。进一步加强环保领域的司法监管。</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提升生态环境监测体系能力建设。</w:t>
      </w:r>
      <w:r>
        <w:rPr>
          <w:rFonts w:hint="eastAsia" w:ascii="Times New Roman" w:hAnsi="Times New Roman" w:eastAsia="方正仿宋_GBK" w:cs="Times New Roman"/>
          <w:sz w:val="32"/>
          <w:szCs w:val="22"/>
        </w:rPr>
        <w:t>加快建设涵盖大气、地表水、地下水、土壤、温室气体、噪声等环境要素以及城市和乡村的环境质量监测网络。统筹构建污染源监测网络，推动实现环境质量预报预警，确保监测数据的及时有效。规范各级监测机构职能定位和队伍建设。推进建设集卫星遥感、无人机航测、地面监测、物联网、大数据、人工智能等新技术于一体的天空地一体化智能监管平台，提升现代化检测监测水平。</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200" w:name="_Toc61279546"/>
      <w:bookmarkStart w:id="201" w:name="_Toc67502357"/>
      <w:r>
        <w:rPr>
          <w:rFonts w:hint="eastAsia" w:ascii="Times New Roman" w:hAnsi="Times New Roman" w:eastAsia="方正楷体_GBK" w:cs="Times New Roman"/>
          <w:kern w:val="0"/>
          <w:sz w:val="32"/>
          <w:szCs w:val="32"/>
        </w:rPr>
        <w:t>第五节 补齐环保基础设施短板</w:t>
      </w:r>
      <w:bookmarkEnd w:id="200"/>
      <w:bookmarkEnd w:id="201"/>
    </w:p>
    <w:p>
      <w:pPr>
        <w:adjustRightInd w:val="0"/>
        <w:snapToGrid w:val="0"/>
        <w:spacing w:line="600" w:lineRule="exact"/>
        <w:ind w:firstLine="643" w:firstLineChars="200"/>
        <w:rPr>
          <w:rFonts w:ascii="Times New Roman" w:hAnsi="Times New Roman" w:eastAsia="方正仿宋_GBK" w:cs="Times New Roman"/>
          <w:sz w:val="32"/>
          <w:szCs w:val="22"/>
        </w:rPr>
      </w:pPr>
      <w:bookmarkStart w:id="202" w:name="_Hlk61269696"/>
      <w:r>
        <w:rPr>
          <w:rFonts w:hint="eastAsia" w:ascii="Times New Roman" w:hAnsi="Times New Roman" w:eastAsia="方正仿宋_GBK" w:cs="Times New Roman"/>
          <w:b/>
          <w:bCs/>
          <w:sz w:val="32"/>
          <w:szCs w:val="22"/>
        </w:rPr>
        <w:t>建立绿色节能给排水体系</w:t>
      </w:r>
      <w:bookmarkEnd w:id="202"/>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打造“雨污分流”的城市排水管网系统，加快污水收集率，提高污水处理率。在沿东环路、新河大道、纬十四路、建设大道等交通干线铺设雨水管道和污水管道，联接大学城污水处理厂、源城污水处理厂和临江污水处理厂，实现城区污水管网全覆盖。完善农村污水管网，加快区镇村三级污水管网建设，将农村生活污水接入污水处理厂集中处理，污水管网覆盖不到的地区单独设置污水处理站进行分散处理。</w:t>
      </w:r>
    </w:p>
    <w:p>
      <w:pPr>
        <w:adjustRightInd w:val="0"/>
        <w:snapToGrid w:val="0"/>
        <w:spacing w:line="600" w:lineRule="exact"/>
        <w:ind w:firstLine="643" w:firstLineChars="200"/>
        <w:rPr>
          <w:rFonts w:ascii="Times New Roman" w:hAnsi="Times New Roman" w:eastAsia="方正仿宋_GBK" w:cs="Times New Roman"/>
          <w:sz w:val="32"/>
          <w:szCs w:val="22"/>
        </w:rPr>
      </w:pPr>
      <w:bookmarkStart w:id="203" w:name="_Hlk61269705"/>
      <w:r>
        <w:rPr>
          <w:rFonts w:hint="eastAsia" w:ascii="Times New Roman" w:hAnsi="Times New Roman" w:eastAsia="方正仿宋_GBK" w:cs="Times New Roman"/>
          <w:b/>
          <w:bCs/>
          <w:sz w:val="32"/>
          <w:szCs w:val="22"/>
        </w:rPr>
        <w:t>建立垃圾回收体系</w:t>
      </w:r>
      <w:bookmarkEnd w:id="203"/>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在社区设立便民回收站，依照有偿回收为主、二次分拣为辅原则，引导居民定时投放、直收直运。改善农村基础卫生设施和环境卫生面貌，健全“户—村—镇”生活垃圾收运体系。建设江东新区厨余垃圾处置中心。以商业区、旅游风景区、公园、客运站、宾馆饭店、学校、新建住宅社区、政府机关、写字楼、体育中心等公共场所为重点，推行分类收集，集中处置。</w:t>
      </w:r>
    </w:p>
    <w:p>
      <w:pPr>
        <w:adjustRightInd w:val="0"/>
        <w:snapToGrid w:val="0"/>
        <w:spacing w:line="600" w:lineRule="exact"/>
        <w:ind w:firstLine="643" w:firstLineChars="200"/>
        <w:rPr>
          <w:rFonts w:ascii="Times New Roman" w:hAnsi="Times New Roman" w:eastAsia="方正仿宋_GBK" w:cs="Times New Roman"/>
          <w:sz w:val="32"/>
          <w:szCs w:val="22"/>
        </w:rPr>
      </w:pPr>
      <w:bookmarkStart w:id="204" w:name="_Hlk61269713"/>
      <w:r>
        <w:rPr>
          <w:rFonts w:hint="eastAsia" w:ascii="Times New Roman" w:hAnsi="Times New Roman" w:eastAsia="方正仿宋_GBK" w:cs="Times New Roman"/>
          <w:b/>
          <w:bCs/>
          <w:sz w:val="32"/>
          <w:szCs w:val="22"/>
        </w:rPr>
        <w:t>建设固体废物处理体系</w:t>
      </w:r>
      <w:bookmarkEnd w:id="204"/>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推进建立完善的固体废物收集、综合利用与安全处置体系。加强工业固体废物处理处置的监控，完善工业固体废物处理处置体系，建设工业废物处置中心，加强工业固体废物集中处理。加快江东新区建筑垃圾消纳场建设。加快建成全面覆盖城乡的废弃电器电子产品回收网络，建成集中贮存转运设施，在各镇村布设回收网点。建设低碳化应用体系，加大既有建筑节能改造力度，建设节能低碳的城市基础设施。加快城乡低碳社区建设，推广绿色建筑和可再生能源建筑应用，完善社区配套低碳生活设施，探索社区低碳化运营管理模式。</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520" w:lineRule="exact"/>
              <w:jc w:val="center"/>
              <w:rPr>
                <w:rFonts w:ascii="Times New Roman" w:hAnsi="Times New Roman" w:eastAsia="方正仿宋_GBK" w:cs="Times New Roman"/>
                <w:b/>
                <w:bCs/>
                <w:sz w:val="32"/>
                <w:szCs w:val="22"/>
              </w:rPr>
            </w:pPr>
            <w:bookmarkStart w:id="205" w:name="_Toc59798223"/>
            <w:r>
              <w:rPr>
                <w:rFonts w:hint="eastAsia" w:ascii="Times New Roman" w:hAnsi="Times New Roman" w:eastAsia="方正仿宋_GBK" w:cs="Times New Roman"/>
                <w:b/>
                <w:bCs/>
                <w:sz w:val="28"/>
                <w:szCs w:val="21"/>
              </w:rPr>
              <w:t xml:space="preserve">专栏9 </w:t>
            </w:r>
            <w:r>
              <w:rPr>
                <w:rFonts w:ascii="Times New Roman" w:hAnsi="Times New Roman" w:eastAsia="方正仿宋_GBK" w:cs="Times New Roman"/>
                <w:b/>
                <w:bCs/>
                <w:sz w:val="28"/>
                <w:szCs w:val="21"/>
              </w:rPr>
              <w:t xml:space="preserve"> </w:t>
            </w:r>
            <w:r>
              <w:rPr>
                <w:rFonts w:hint="eastAsia" w:ascii="Times New Roman" w:hAnsi="Times New Roman" w:eastAsia="方正仿宋_GBK" w:cs="Times New Roman"/>
                <w:b/>
                <w:bCs/>
                <w:sz w:val="28"/>
                <w:szCs w:val="21"/>
              </w:rPr>
              <w:t>环保工程重点项目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520" w:lineRule="exact"/>
              <w:rPr>
                <w:rFonts w:ascii="Times New Roman" w:hAnsi="Times New Roman" w:eastAsia="方正仿宋_GBK" w:cs="Times New Roman"/>
                <w:b/>
                <w:bCs/>
                <w:sz w:val="24"/>
              </w:rPr>
            </w:pPr>
            <w:r>
              <w:rPr>
                <w:rFonts w:hint="eastAsia" w:ascii="Times New Roman" w:hAnsi="Times New Roman" w:eastAsia="方正仿宋_GBK" w:cs="Times New Roman"/>
                <w:b/>
                <w:bCs/>
                <w:sz w:val="24"/>
              </w:rPr>
              <w:t>污水处理设施建设项目：</w:t>
            </w:r>
          </w:p>
          <w:p>
            <w:pPr>
              <w:adjustRightInd w:val="0"/>
              <w:snapToGrid w:val="0"/>
              <w:spacing w:line="52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江东新区产业园区北片区污水处理厂项目：</w:t>
            </w:r>
            <w:r>
              <w:rPr>
                <w:rFonts w:hint="eastAsia" w:ascii="Times New Roman" w:hAnsi="Times New Roman" w:eastAsia="方正仿宋_GBK" w:cs="Times New Roman"/>
                <w:sz w:val="24"/>
              </w:rPr>
              <w:t>项目分两期建设</w:t>
            </w:r>
            <w:r>
              <w:rPr>
                <w:rFonts w:ascii="Times New Roman" w:hAnsi="Times New Roman" w:eastAsia="方正仿宋_GBK" w:cs="Times New Roman"/>
                <w:sz w:val="24"/>
              </w:rPr>
              <w:t>。第一期的规模为10000吨/日，主要负责产业园起步区2.35万平方公里的污水处理</w:t>
            </w:r>
            <w:r>
              <w:rPr>
                <w:rFonts w:hint="eastAsia" w:ascii="Times New Roman" w:hAnsi="Times New Roman" w:eastAsia="方正仿宋_GBK" w:cs="Times New Roman"/>
                <w:sz w:val="24"/>
              </w:rPr>
              <w:t>。</w:t>
            </w:r>
          </w:p>
          <w:p>
            <w:pPr>
              <w:adjustRightInd w:val="0"/>
              <w:snapToGrid w:val="0"/>
              <w:spacing w:line="52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江东新区城东水质净化厂：</w:t>
            </w:r>
            <w:r>
              <w:rPr>
                <w:rFonts w:hint="eastAsia" w:ascii="Times New Roman" w:hAnsi="Times New Roman" w:eastAsia="方正仿宋_GBK" w:cs="Times New Roman"/>
                <w:sz w:val="24"/>
              </w:rPr>
              <w:t>处理总规模约</w:t>
            </w:r>
            <w:r>
              <w:rPr>
                <w:rFonts w:ascii="Times New Roman" w:hAnsi="Times New Roman" w:eastAsia="方正仿宋_GBK" w:cs="Times New Roman"/>
                <w:sz w:val="24"/>
              </w:rPr>
              <w:t>9.5万吨/日，分两期建设，其中一期规模4万吨/日，二期规模5.5万吨/日。</w:t>
            </w:r>
          </w:p>
          <w:p>
            <w:pPr>
              <w:adjustRightInd w:val="0"/>
              <w:snapToGrid w:val="0"/>
              <w:spacing w:line="52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江东新区古竹污水处理厂项目：</w:t>
            </w:r>
            <w:r>
              <w:rPr>
                <w:rFonts w:ascii="Times New Roman" w:hAnsi="Times New Roman" w:eastAsia="方正仿宋_GBK" w:cs="Times New Roman"/>
                <w:sz w:val="24"/>
              </w:rPr>
              <w:t>建设规模为生活污水日处理量2.5万m³/d，</w:t>
            </w:r>
            <w:r>
              <w:rPr>
                <w:rFonts w:hint="eastAsia" w:ascii="Times New Roman" w:hAnsi="Times New Roman" w:eastAsia="方正仿宋_GBK" w:cs="Times New Roman"/>
                <w:sz w:val="24"/>
              </w:rPr>
              <w:t>分两期建设。</w:t>
            </w:r>
          </w:p>
          <w:p>
            <w:pPr>
              <w:adjustRightInd w:val="0"/>
              <w:snapToGrid w:val="0"/>
              <w:spacing w:line="520" w:lineRule="exact"/>
              <w:rPr>
                <w:rFonts w:ascii="Times New Roman" w:hAnsi="Times New Roman" w:eastAsia="方正仿宋_GBK" w:cs="Times New Roman"/>
                <w:b/>
                <w:bCs/>
                <w:sz w:val="24"/>
              </w:rPr>
            </w:pPr>
            <w:r>
              <w:rPr>
                <w:rFonts w:hint="eastAsia" w:ascii="Times New Roman" w:hAnsi="Times New Roman" w:eastAsia="方正仿宋_GBK" w:cs="Times New Roman"/>
                <w:b/>
                <w:bCs/>
                <w:sz w:val="24"/>
              </w:rPr>
              <w:t>垃圾处理设施建设项目：</w:t>
            </w:r>
          </w:p>
          <w:p>
            <w:pPr>
              <w:adjustRightInd w:val="0"/>
              <w:snapToGrid w:val="0"/>
              <w:spacing w:line="52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江东新区建筑垃圾消纳场：</w:t>
            </w:r>
            <w:r>
              <w:rPr>
                <w:rFonts w:hint="eastAsia" w:ascii="Times New Roman" w:hAnsi="Times New Roman" w:eastAsia="方正仿宋_GBK" w:cs="Times New Roman"/>
                <w:sz w:val="24"/>
              </w:rPr>
              <w:t>建设建筑垃圾再生综合利用生产线建设项目、机制砂生产线项目、环保砖生产线项目、办公楼</w:t>
            </w:r>
            <w:r>
              <w:rPr>
                <w:rFonts w:ascii="Times New Roman" w:hAnsi="Times New Roman" w:eastAsia="方正仿宋_GBK" w:cs="Times New Roman"/>
                <w:sz w:val="24"/>
              </w:rPr>
              <w:t>、生活区、道路</w:t>
            </w:r>
            <w:r>
              <w:rPr>
                <w:rFonts w:hint="eastAsia" w:ascii="Times New Roman" w:hAnsi="Times New Roman" w:eastAsia="方正仿宋_GBK" w:cs="Times New Roman"/>
                <w:sz w:val="24"/>
              </w:rPr>
              <w:t>等</w:t>
            </w:r>
            <w:r>
              <w:rPr>
                <w:rFonts w:ascii="Times New Roman" w:hAnsi="Times New Roman" w:eastAsia="方正仿宋_GBK" w:cs="Times New Roman"/>
                <w:sz w:val="24"/>
              </w:rPr>
              <w:t>，同时配套基础设施建设和购置三条生产线设备一批</w:t>
            </w:r>
            <w:r>
              <w:rPr>
                <w:rFonts w:hint="eastAsia" w:ascii="Times New Roman" w:hAnsi="Times New Roman" w:eastAsia="方正仿宋_GBK" w:cs="Times New Roman"/>
                <w:sz w:val="24"/>
              </w:rPr>
              <w:t>。</w:t>
            </w:r>
          </w:p>
          <w:p>
            <w:pPr>
              <w:adjustRightInd w:val="0"/>
              <w:snapToGrid w:val="0"/>
              <w:spacing w:line="520" w:lineRule="exact"/>
              <w:rPr>
                <w:rFonts w:ascii="Times New Roman" w:hAnsi="Times New Roman" w:eastAsia="方正仿宋_GBK" w:cs="Times New Roman"/>
                <w:b/>
                <w:bCs/>
                <w:sz w:val="24"/>
              </w:rPr>
            </w:pPr>
            <w:r>
              <w:rPr>
                <w:rFonts w:hint="eastAsia" w:ascii="Times New Roman" w:hAnsi="Times New Roman" w:eastAsia="方正仿宋_GBK" w:cs="Times New Roman"/>
                <w:b/>
                <w:bCs/>
                <w:sz w:val="24"/>
              </w:rPr>
              <w:t>生态环境综合治理项目：</w:t>
            </w:r>
          </w:p>
          <w:p>
            <w:pPr>
              <w:adjustRightInd w:val="0"/>
              <w:snapToGrid w:val="0"/>
              <w:spacing w:line="52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江东新区东江东岸水生态环境保护综合整治项目：</w:t>
            </w:r>
            <w:r>
              <w:rPr>
                <w:rFonts w:hint="eastAsia" w:ascii="Times New Roman" w:hAnsi="Times New Roman" w:eastAsia="方正仿宋_GBK" w:cs="Times New Roman"/>
                <w:sz w:val="24"/>
              </w:rPr>
              <w:t>开展污水收集管网工程、沿江生态修复与保护工程、湿地工程建设。</w:t>
            </w:r>
          </w:p>
          <w:p>
            <w:pPr>
              <w:adjustRightInd w:val="0"/>
              <w:snapToGrid w:val="0"/>
              <w:spacing w:line="52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河源江东新区柏埔河碧道工程：</w:t>
            </w:r>
            <w:r>
              <w:rPr>
                <w:rFonts w:hint="eastAsia" w:ascii="Times New Roman" w:hAnsi="Times New Roman" w:eastAsia="方正仿宋_GBK" w:cs="Times New Roman"/>
                <w:sz w:val="24"/>
              </w:rPr>
              <w:t>包括</w:t>
            </w:r>
            <w:r>
              <w:rPr>
                <w:rFonts w:ascii="Times New Roman" w:hAnsi="Times New Roman" w:eastAsia="方正仿宋_GBK" w:cs="Times New Roman"/>
                <w:sz w:val="24"/>
              </w:rPr>
              <w:t>水环境治理</w:t>
            </w:r>
            <w:r>
              <w:rPr>
                <w:rFonts w:hint="eastAsia" w:ascii="Times New Roman" w:hAnsi="Times New Roman" w:eastAsia="方正仿宋_GBK" w:cs="Times New Roman"/>
                <w:sz w:val="24"/>
              </w:rPr>
              <w:t>、</w:t>
            </w:r>
            <w:r>
              <w:rPr>
                <w:rFonts w:ascii="Times New Roman" w:hAnsi="Times New Roman" w:eastAsia="方正仿宋_GBK" w:cs="Times New Roman"/>
                <w:sz w:val="24"/>
              </w:rPr>
              <w:t>水生态保护与修复</w:t>
            </w:r>
            <w:r>
              <w:rPr>
                <w:rFonts w:hint="eastAsia" w:ascii="Times New Roman" w:hAnsi="Times New Roman" w:eastAsia="方正仿宋_GBK" w:cs="Times New Roman"/>
                <w:sz w:val="24"/>
              </w:rPr>
              <w:t>、</w:t>
            </w:r>
            <w:r>
              <w:rPr>
                <w:rFonts w:ascii="Times New Roman" w:hAnsi="Times New Roman" w:eastAsia="方正仿宋_GBK" w:cs="Times New Roman"/>
                <w:sz w:val="24"/>
              </w:rPr>
              <w:t>水安全提升</w:t>
            </w:r>
            <w:r>
              <w:rPr>
                <w:rFonts w:hint="eastAsia" w:ascii="Times New Roman" w:hAnsi="Times New Roman" w:eastAsia="方正仿宋_GBK" w:cs="Times New Roman"/>
                <w:sz w:val="24"/>
              </w:rPr>
              <w:t>、</w:t>
            </w:r>
            <w:r>
              <w:rPr>
                <w:rFonts w:ascii="Times New Roman" w:hAnsi="Times New Roman" w:eastAsia="方正仿宋_GBK" w:cs="Times New Roman"/>
                <w:sz w:val="24"/>
              </w:rPr>
              <w:t>景观与特色营造</w:t>
            </w:r>
            <w:r>
              <w:rPr>
                <w:rFonts w:hint="eastAsia" w:ascii="Times New Roman" w:hAnsi="Times New Roman" w:eastAsia="方正仿宋_GBK" w:cs="Times New Roman"/>
                <w:sz w:val="24"/>
              </w:rPr>
              <w:t>、</w:t>
            </w:r>
            <w:r>
              <w:rPr>
                <w:rFonts w:ascii="Times New Roman" w:hAnsi="Times New Roman" w:eastAsia="方正仿宋_GBK" w:cs="Times New Roman"/>
                <w:sz w:val="24"/>
              </w:rPr>
              <w:t>游憩系统构建。</w:t>
            </w:r>
          </w:p>
          <w:p>
            <w:pPr>
              <w:adjustRightInd w:val="0"/>
              <w:snapToGrid w:val="0"/>
              <w:spacing w:line="52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柏埔河水环境综合整治项目：</w:t>
            </w:r>
            <w:r>
              <w:rPr>
                <w:rFonts w:hint="eastAsia" w:ascii="Times New Roman" w:hAnsi="Times New Roman" w:eastAsia="方正仿宋_GBK" w:cs="Times New Roman"/>
                <w:sz w:val="24"/>
              </w:rPr>
              <w:t>完成柏埔河（江东新区段）沿线</w:t>
            </w:r>
            <w:r>
              <w:rPr>
                <w:rFonts w:ascii="Times New Roman" w:hAnsi="Times New Roman" w:eastAsia="方正仿宋_GBK" w:cs="Times New Roman"/>
                <w:sz w:val="24"/>
              </w:rPr>
              <w:t>6个行政村污水治理设施及配套管网建设，对禁养区畜禽养殖专项清理、对农村生活垃圾收运系统进行改造。</w:t>
            </w:r>
          </w:p>
          <w:p>
            <w:pPr>
              <w:adjustRightInd w:val="0"/>
              <w:snapToGrid w:val="0"/>
              <w:spacing w:line="52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义容河水环境综合整治项目：</w:t>
            </w:r>
            <w:r>
              <w:rPr>
                <w:rFonts w:hint="eastAsia" w:ascii="Times New Roman" w:hAnsi="Times New Roman" w:eastAsia="方正仿宋_GBK" w:cs="Times New Roman"/>
                <w:sz w:val="24"/>
              </w:rPr>
              <w:t>完成义容河（江东新区段）沿线</w:t>
            </w:r>
            <w:r>
              <w:rPr>
                <w:rFonts w:ascii="Times New Roman" w:hAnsi="Times New Roman" w:eastAsia="方正仿宋_GBK" w:cs="Times New Roman"/>
                <w:sz w:val="24"/>
              </w:rPr>
              <w:t>4个行政村污水治理设施及配套管网建设，对义容河流域农村生活垃圾收运系统进行改造，分别对蓼坑水、留洞水、古竹双坑污水厂纳污水体（无名小溪）河道进行整治。</w:t>
            </w:r>
          </w:p>
          <w:p>
            <w:pPr>
              <w:adjustRightInd w:val="0"/>
              <w:snapToGrid w:val="0"/>
              <w:spacing w:line="52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江东新区环境监测站项目：</w:t>
            </w:r>
            <w:r>
              <w:rPr>
                <w:rFonts w:hint="eastAsia" w:ascii="Times New Roman" w:hAnsi="Times New Roman" w:eastAsia="方正仿宋_GBK" w:cs="Times New Roman"/>
                <w:sz w:val="24"/>
              </w:rPr>
              <w:t>建立检测实验室，新建水质自动监测系统、空气自动监测系统、噪声自动监测系统等。</w:t>
            </w:r>
          </w:p>
        </w:tc>
      </w:tr>
    </w:tbl>
    <w:p>
      <w:pPr>
        <w:keepNext/>
        <w:keepLines/>
        <w:adjustRightInd w:val="0"/>
        <w:snapToGrid w:val="0"/>
        <w:spacing w:before="156" w:beforeLines="50" w:after="156" w:afterLines="50" w:line="580" w:lineRule="exact"/>
        <w:jc w:val="center"/>
        <w:outlineLvl w:val="0"/>
        <w:rPr>
          <w:rFonts w:ascii="Times New Roman" w:hAnsi="Times New Roman" w:eastAsia="方正黑体_GBK" w:cs="Times New Roman"/>
          <w:bCs/>
          <w:kern w:val="44"/>
          <w:sz w:val="32"/>
          <w:szCs w:val="32"/>
          <w:lang w:val="zh-CN"/>
        </w:rPr>
      </w:pPr>
      <w:r>
        <w:rPr>
          <w:rFonts w:ascii="Times New Roman" w:hAnsi="Times New Roman" w:eastAsia="方正黑体_GBK" w:cs="Times New Roman"/>
          <w:bCs/>
          <w:kern w:val="44"/>
          <w:sz w:val="32"/>
          <w:szCs w:val="32"/>
          <w:lang w:val="zh-CN"/>
        </w:rPr>
        <w:br w:type="page"/>
      </w:r>
      <w:bookmarkStart w:id="206" w:name="_Toc67502358"/>
      <w:bookmarkStart w:id="207" w:name="_Toc61279547"/>
      <w:r>
        <w:rPr>
          <w:rFonts w:hint="eastAsia" w:ascii="Times New Roman" w:hAnsi="Times New Roman" w:eastAsia="方正黑体_GBK" w:cs="Times New Roman"/>
          <w:bCs/>
          <w:kern w:val="44"/>
          <w:sz w:val="32"/>
          <w:szCs w:val="32"/>
          <w:lang w:val="zh-CN"/>
        </w:rPr>
        <w:t>第十章 突破体制机制瓶颈，打造改革创新平台</w:t>
      </w:r>
      <w:bookmarkEnd w:id="205"/>
      <w:bookmarkEnd w:id="206"/>
      <w:bookmarkEnd w:id="207"/>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聚焦重点领域和关键环节，破除体制机制障碍，加大要素市场化配置力度，优化营商环境，持续释放市场活力，构筑高水平开放平台，抓重点、破难点，推动形成发展新格局。</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208" w:name="_Toc61279548"/>
      <w:bookmarkStart w:id="209" w:name="_Toc59798224"/>
      <w:bookmarkStart w:id="210" w:name="_Toc67502359"/>
      <w:r>
        <w:rPr>
          <w:rFonts w:hint="eastAsia" w:ascii="Times New Roman" w:hAnsi="Times New Roman" w:eastAsia="方正楷体_GBK" w:cs="Times New Roman"/>
          <w:kern w:val="0"/>
          <w:sz w:val="32"/>
          <w:szCs w:val="32"/>
        </w:rPr>
        <w:t>第一节 持续优化营商环境</w:t>
      </w:r>
      <w:bookmarkEnd w:id="208"/>
      <w:bookmarkEnd w:id="209"/>
      <w:bookmarkEnd w:id="210"/>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继续深化“放管服”改革。</w:t>
      </w:r>
      <w:r>
        <w:rPr>
          <w:rFonts w:hint="eastAsia" w:ascii="Times New Roman" w:hAnsi="Times New Roman" w:eastAsia="方正仿宋_GBK" w:cs="Times New Roman"/>
          <w:sz w:val="32"/>
          <w:szCs w:val="22"/>
        </w:rPr>
        <w:t>对标双区政策体系，强化“融湾”“融深”体制机制保障，全力营造有利于先进生产力、生产要素集聚的发展环境。深入开展营商环境改革试点工作，优化投资审批服务，全面推行工程建设领域行政审批容缺承诺制改革，实现项目办理“抢着办”“盯着办”“领着办”“容缺办”。突出抓好权责事项压减和清理、“证照分离”改革、减税降费、“双随机、一公开”、百项疏堵行动、“一窗通办”等重点工作任务，破除妨碍各类生产要素流动壁垒。全面推行“前台综合受理，后台分类审批，统一前台出件”的办事模式。建立营商环境评价机制，推动新区营商环境率先达到珠三角同等水平。</w:t>
      </w:r>
    </w:p>
    <w:p>
      <w:pPr>
        <w:adjustRightInd w:val="0"/>
        <w:snapToGrid w:val="0"/>
        <w:spacing w:line="580" w:lineRule="exact"/>
        <w:ind w:firstLine="643" w:firstLineChars="200"/>
        <w:rPr>
          <w:rFonts w:ascii="Times New Roman" w:hAnsi="Times New Roman" w:eastAsia="方正仿宋_GBK" w:cs="Times New Roman"/>
          <w:b/>
          <w:bCs/>
          <w:sz w:val="32"/>
          <w:szCs w:val="22"/>
        </w:rPr>
      </w:pPr>
      <w:r>
        <w:rPr>
          <w:rFonts w:hint="eastAsia" w:ascii="Times New Roman" w:hAnsi="Times New Roman" w:eastAsia="方正仿宋_GBK" w:cs="Times New Roman"/>
          <w:b/>
          <w:bCs/>
          <w:sz w:val="32"/>
          <w:szCs w:val="22"/>
        </w:rPr>
        <w:t>加快推进“数字政府”建设。</w:t>
      </w:r>
      <w:r>
        <w:rPr>
          <w:rFonts w:hint="eastAsia" w:ascii="Times New Roman" w:hAnsi="Times New Roman" w:eastAsia="方正仿宋_GBK" w:cs="Times New Roman"/>
          <w:sz w:val="32"/>
          <w:szCs w:val="22"/>
        </w:rPr>
        <w:t>深入开展“数字政府”改革建设试点。充分利用互联网、大数据、云计算、人工智能等高新技术，实现治理能力现代化。加快政务云平台的建设步伐，完善政务信息资源共享平台建设，解决“数据壁垒”和“信息孤岛”的问题，实现各级部门数据资源互通共享，提升部门间信息互通的能力。积极推动政务数据向社会共享开放，建立健全政务数据资源开放及应用机制，不断拓展数据共享与开放的广度和深度，加强对数据的开发利用，提升政府的决策能力，探索新型政府管理和政务服务模式。深化“互联网</w:t>
      </w:r>
      <w:r>
        <w:rPr>
          <w:rFonts w:ascii="Times New Roman" w:hAnsi="Times New Roman" w:eastAsia="方正仿宋_GBK" w:cs="Times New Roman"/>
          <w:sz w:val="32"/>
          <w:szCs w:val="22"/>
        </w:rPr>
        <w:t>+政务服务”，加大“智慧江东”等信息化系统开发应用力度。</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深入推进信用体系建设。</w:t>
      </w:r>
      <w:r>
        <w:rPr>
          <w:rFonts w:hint="eastAsia" w:ascii="Times New Roman" w:hAnsi="Times New Roman" w:eastAsia="方正仿宋_GBK" w:cs="Times New Roman"/>
          <w:sz w:val="32"/>
          <w:szCs w:val="22"/>
        </w:rPr>
        <w:t>着力推进企业诚信经营。建立完善企业经济户口制度，加强企业信用监管，健全市场准入和逐出机制。强化税收监管力度，推进企业依法纳税。抓好企业质量信用建设，规范企业信贷行为，引导企业建立内部信用管理制度。建立个人信用体系。积极研究制定“个人信用征信及信用评级管理办法”，重点强化企业经营者和个体私营业主的个人信用，逐步建立和完善经营者和个体私营业主的信用记录、评估、警示、惩戒制度。</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211" w:name="_Toc67502360"/>
      <w:bookmarkStart w:id="212" w:name="_Toc61279549"/>
      <w:bookmarkStart w:id="213" w:name="_Toc59798225"/>
      <w:r>
        <w:rPr>
          <w:rFonts w:hint="eastAsia" w:ascii="Times New Roman" w:hAnsi="Times New Roman" w:eastAsia="方正楷体_GBK" w:cs="Times New Roman"/>
          <w:kern w:val="0"/>
          <w:sz w:val="32"/>
          <w:szCs w:val="32"/>
        </w:rPr>
        <w:t>第二节 完善要素市场化配置体制机制</w:t>
      </w:r>
      <w:bookmarkEnd w:id="211"/>
      <w:bookmarkEnd w:id="212"/>
      <w:bookmarkEnd w:id="213"/>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推动土地要素高效配置。</w:t>
      </w:r>
      <w:r>
        <w:rPr>
          <w:rFonts w:hint="eastAsia" w:ascii="Times New Roman" w:hAnsi="Times New Roman" w:eastAsia="方正仿宋_GBK" w:cs="Times New Roman"/>
          <w:sz w:val="32"/>
          <w:szCs w:val="22"/>
        </w:rPr>
        <w:t>加速推进土地要素城乡流动，落实国有土地和农村集体土地同地同权的相关政策，积极推动集体土地入市，创新土地流转方式，加快村集体土地开发增值，破除土地征收瓶颈。推动区域间土地要素合理配置，坚持土地要素跟着项目走，以真实有效的项目落地作为配置计划的重要依据，优先保证重大项目用地需求。争取上级支持开展“三旧”改造改革试点，充分运用市场机制盘活存量土地和低效用地，推动土地复合开发利用，引导土地用途合理转换，改变不合理的土地利用结构。结合产城融合、产业发展及企业发展实际需求，有效盘活高铁新城规划核心区域内的工业企业和闲置用地，推动高铁新城片区实现滚动开发。</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推动劳动力要素合理流动。</w:t>
      </w:r>
      <w:r>
        <w:rPr>
          <w:rFonts w:hint="eastAsia" w:ascii="Times New Roman" w:hAnsi="Times New Roman" w:eastAsia="方正仿宋_GBK" w:cs="Times New Roman"/>
          <w:sz w:val="32"/>
          <w:szCs w:val="22"/>
        </w:rPr>
        <w:t>提高产业起步区对高端人才的服务功能，与大湾区人力资源市场对接，建立协调的管理制度、管理规范和评价机制，推动区域间人才市场一体化。提高人才政策透明度，规范人力资源定价和交流市场。营造公平就业环境，缩小城乡间、区域间基本公共服务差距，保障城乡劳动者享有平等就业权利。维护劳动者和用人单位的合法权益。完善人事制度，进一步畅通企业、社会组织人员进入国有企业事业单位渠道。</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推动资本要素优化配置。</w:t>
      </w:r>
      <w:r>
        <w:rPr>
          <w:rFonts w:hint="eastAsia" w:ascii="Times New Roman" w:hAnsi="Times New Roman" w:eastAsia="方正仿宋_GBK" w:cs="Times New Roman"/>
          <w:sz w:val="32"/>
          <w:szCs w:val="22"/>
        </w:rPr>
        <w:t>提升金融服务水平，增强资金流动效率。大力发展科技金融、普惠金融、绿色金融、文化金融、供应链金融。放宽金融服务业市场准入，加快建设融资专项资金服务平台。引导和扶持重点企业完成股改工作。完善政企沟通工作机制，依托“粤商通”</w:t>
      </w:r>
      <w:r>
        <w:rPr>
          <w:rFonts w:ascii="Times New Roman" w:hAnsi="Times New Roman" w:eastAsia="方正仿宋_GBK" w:cs="Times New Roman"/>
          <w:sz w:val="32"/>
          <w:szCs w:val="22"/>
        </w:rPr>
        <w:t>APP搭建中小企业应诉响应平台，持续改善企业融资环境，加快推进江东新区接入省市中小企业融资平台，落实支持中小微企业融资专项资金管理办法。</w:t>
      </w:r>
    </w:p>
    <w:p>
      <w:pPr>
        <w:adjustRightInd w:val="0"/>
        <w:snapToGrid w:val="0"/>
        <w:spacing w:before="156" w:beforeLines="50" w:after="156" w:afterLines="50" w:line="560" w:lineRule="exact"/>
        <w:jc w:val="center"/>
        <w:outlineLvl w:val="1"/>
        <w:rPr>
          <w:rFonts w:ascii="Times New Roman" w:hAnsi="Times New Roman" w:eastAsia="方正楷体_GBK" w:cs="Times New Roman"/>
          <w:kern w:val="0"/>
          <w:sz w:val="32"/>
          <w:szCs w:val="32"/>
        </w:rPr>
      </w:pPr>
      <w:bookmarkStart w:id="214" w:name="_Toc59798226"/>
      <w:bookmarkStart w:id="215" w:name="_Toc67502361"/>
      <w:bookmarkStart w:id="216" w:name="_Toc61279550"/>
      <w:r>
        <w:rPr>
          <w:rFonts w:hint="eastAsia" w:ascii="Times New Roman" w:hAnsi="Times New Roman" w:eastAsia="方正楷体_GBK" w:cs="Times New Roman"/>
          <w:kern w:val="0"/>
          <w:sz w:val="32"/>
          <w:szCs w:val="32"/>
        </w:rPr>
        <w:t>第三节 全面激发市场主体活力</w:t>
      </w:r>
      <w:bookmarkEnd w:id="214"/>
      <w:bookmarkEnd w:id="215"/>
      <w:bookmarkEnd w:id="216"/>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深化国资国企改革。</w:t>
      </w:r>
      <w:r>
        <w:rPr>
          <w:rFonts w:hint="eastAsia" w:ascii="Times New Roman" w:hAnsi="Times New Roman" w:eastAsia="方正仿宋_GBK" w:cs="Times New Roman"/>
          <w:sz w:val="32"/>
          <w:szCs w:val="22"/>
        </w:rPr>
        <w:t>做强做优国有资本和国有企业，探索市属国有企业混合所有制改革。加快国有资本布局优化、结构调整、战略性重组，推动国有资本更多向基础性、公共性、平台性、引领性等重点领域和关键环节集中。创新国资国企管理体制，深入推进预算编制执行监督管理改革，完成预算管理动态监督系统建设，完善以管资本为主的国有资产监管体系。建立“融、投、建、管”一体化管理模式，加快国有企业横向联合、纵向整合和专业化重组，打造以基础设施投资建设为基础，以经营城市、资本运作为支撑的综合性经营和资本运作的国有企业经营格局。在平衡政府资金需求的同时，提高公司经营性现金流，优化推进政府投资性项目。</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优化民营经济发展环境。</w:t>
      </w:r>
      <w:r>
        <w:rPr>
          <w:rFonts w:hint="eastAsia" w:ascii="Times New Roman" w:hAnsi="Times New Roman" w:eastAsia="方正仿宋_GBK" w:cs="Times New Roman"/>
          <w:sz w:val="32"/>
          <w:szCs w:val="22"/>
        </w:rPr>
        <w:t>根据中央出台的各项稳增长、调结构、补短板措施，充分利用各项促进民间投资增长的政策，积极创造条件，吸引民间投资进入现代高效农业、先进制造业和现代服务业。全面落实省市“实体经济十条”“民营经济十条”等政策措施，出台招商引资、产业发展等优惠政策，切实加强对民营经济发展的统筹规划、综合协调、组织推动、指导服务。坚决破除各种隐性壁垒，建立经常性沟通联系机制，畅通民营企业家反映问题和提出意见的“绿色通道”，完善民营企业问题交办机制。着力解决企业融资难融资贵问题，深化金融体制改革，逐步降低企业融资成本。健全完善促进中小微企业和个体工商户发展政策。大力弘扬企业家精神、劳模精神和工匠精神。</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217" w:name="_Toc67502362"/>
      <w:bookmarkStart w:id="218" w:name="_Toc61279551"/>
      <w:bookmarkStart w:id="219" w:name="_Toc59798227"/>
      <w:r>
        <w:rPr>
          <w:rFonts w:hint="eastAsia" w:ascii="Times New Roman" w:hAnsi="Times New Roman" w:eastAsia="方正楷体_GBK" w:cs="Times New Roman"/>
          <w:kern w:val="0"/>
          <w:sz w:val="32"/>
          <w:szCs w:val="32"/>
        </w:rPr>
        <w:t>第四节 发展更高水平的开放型经济</w:t>
      </w:r>
      <w:bookmarkEnd w:id="217"/>
      <w:bookmarkEnd w:id="218"/>
      <w:bookmarkEnd w:id="219"/>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推进投资贸易自由便利化。</w:t>
      </w:r>
      <w:r>
        <w:rPr>
          <w:rFonts w:hint="eastAsia" w:ascii="Times New Roman" w:hAnsi="Times New Roman" w:eastAsia="方正仿宋_GBK" w:cs="Times New Roman"/>
          <w:sz w:val="32"/>
          <w:szCs w:val="22"/>
        </w:rPr>
        <w:t>不断优化完善适应市场准入负面清单管理的配套制度，营造公平健康的营商环境。进一步提升企业投资管理效率，压缩投资项目办理时限，减少企业的时间成本，放宽外商投资准入，扩大利用外商投资，打造良好的投资氛围。着力破解投资项目审批难瓶颈制约，进一步优化审批流程和压缩审批时限，优化投资审批服务，切实提高部门审批工作效率。对投资项目“宽入严管”，转变监管模式，加重对投资项目的事中事后监管。</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建设高水平开放平台。</w:t>
      </w:r>
      <w:r>
        <w:rPr>
          <w:rFonts w:hint="eastAsia" w:ascii="Times New Roman" w:hAnsi="Times New Roman" w:eastAsia="方正仿宋_GBK" w:cs="Times New Roman"/>
          <w:sz w:val="32"/>
          <w:szCs w:val="22"/>
        </w:rPr>
        <w:t>以实施“一带一路”倡议，进一步丰富我市口岸功能为契机，全力申报保税物流中心（</w:t>
      </w:r>
      <w:r>
        <w:rPr>
          <w:rFonts w:ascii="Times New Roman" w:hAnsi="Times New Roman" w:eastAsia="方正仿宋_GBK" w:cs="Times New Roman"/>
          <w:sz w:val="32"/>
          <w:szCs w:val="22"/>
        </w:rPr>
        <w:t>B型），在更大范围、更高层次参与大湾区经济合作。依托新区独有的区位优势、成本优势和高铁枢纽、古竹港区码头、通用机场等项目，高度对接</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双区</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开放</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大平台</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、经贸</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大网络</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和</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大市场</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谋划建设深河特别合作区。推动新区成为大湾区辐射带动北部生态发展区的区域合作区和深河特别合作区的首要承载地，成为深圳建设中国特色社会主义先行示范区的外延区，初步形成土地、产业、金融、人才、制度等对接机制。</w:t>
      </w:r>
    </w:p>
    <w:p>
      <w:pPr>
        <w:pStyle w:val="5"/>
        <w:jc w:val="center"/>
        <w:rPr>
          <w:rFonts w:ascii="Times New Roman" w:hAnsi="Times New Roman" w:eastAsia="方正黑体_GBK" w:cs="Times New Roman"/>
          <w:kern w:val="44"/>
          <w:sz w:val="32"/>
          <w:szCs w:val="32"/>
          <w:lang w:val="zh-CN"/>
        </w:rPr>
      </w:pPr>
      <w:bookmarkStart w:id="220" w:name="_Toc59798228"/>
      <w:r>
        <w:rPr>
          <w:rFonts w:ascii="Times New Roman" w:hAnsi="Times New Roman" w:eastAsia="方正黑体_GBK" w:cs="Times New Roman"/>
          <w:kern w:val="44"/>
          <w:sz w:val="32"/>
          <w:szCs w:val="32"/>
          <w:lang w:val="zh-CN"/>
        </w:rPr>
        <w:br w:type="page"/>
      </w:r>
      <w:bookmarkEnd w:id="220"/>
      <w:bookmarkStart w:id="221" w:name="_Toc67502363"/>
      <w:bookmarkStart w:id="222" w:name="_Toc61279556"/>
      <w:bookmarkStart w:id="223" w:name="_Toc59798232"/>
      <w:r>
        <w:rPr>
          <w:rFonts w:hint="eastAsia" w:ascii="Times New Roman" w:hAnsi="Times New Roman" w:eastAsia="方正黑体_GBK" w:cs="Times New Roman"/>
          <w:kern w:val="44"/>
          <w:sz w:val="32"/>
          <w:szCs w:val="32"/>
          <w:lang w:val="zh-CN"/>
        </w:rPr>
        <w:t>第十一章 强化民生保障，打造高品质幸福新区</w:t>
      </w:r>
      <w:bookmarkEnd w:id="221"/>
      <w:bookmarkEnd w:id="222"/>
      <w:bookmarkEnd w:id="223"/>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紧紧围绕人民对美好生活的向往，全力抓好文化、教育、医疗、社会保障、社会治理等民生工作，织密兜牢基本民生网底，持续释放政策效应，补齐民生短板，突出民生工程实效，建设幸福新城。</w:t>
      </w:r>
    </w:p>
    <w:p>
      <w:pPr>
        <w:adjustRightInd w:val="0"/>
        <w:snapToGrid w:val="0"/>
        <w:spacing w:before="156" w:beforeLines="50" w:after="156" w:afterLines="50" w:line="580" w:lineRule="exact"/>
        <w:jc w:val="center"/>
        <w:outlineLvl w:val="1"/>
        <w:rPr>
          <w:rFonts w:ascii="Times New Roman" w:hAnsi="Times New Roman" w:eastAsia="方正黑体_GBK" w:cs="Times New Roman"/>
          <w:sz w:val="32"/>
          <w:szCs w:val="32"/>
        </w:rPr>
      </w:pPr>
      <w:bookmarkStart w:id="224" w:name="_Toc67502364"/>
      <w:bookmarkStart w:id="225" w:name="_Toc61279552"/>
      <w:bookmarkStart w:id="226" w:name="_Toc61279557"/>
      <w:bookmarkStart w:id="227" w:name="_Toc59798233"/>
      <w:r>
        <w:rPr>
          <w:rFonts w:hint="eastAsia" w:ascii="Times New Roman" w:hAnsi="Times New Roman" w:eastAsia="方正楷体_GBK" w:cs="Times New Roman"/>
          <w:kern w:val="0"/>
          <w:sz w:val="32"/>
          <w:szCs w:val="32"/>
        </w:rPr>
        <w:t>第一节 推动文化事业繁荣发展</w:t>
      </w:r>
      <w:bookmarkEnd w:id="224"/>
      <w:bookmarkEnd w:id="225"/>
    </w:p>
    <w:p>
      <w:pPr>
        <w:adjustRightInd w:val="0"/>
        <w:snapToGrid w:val="0"/>
        <w:spacing w:line="580" w:lineRule="exact"/>
        <w:ind w:firstLine="643" w:firstLineChars="200"/>
        <w:rPr>
          <w:rFonts w:ascii="Times New Roman" w:hAnsi="Times New Roman" w:eastAsia="方正仿宋_GBK" w:cs="Times New Roman"/>
          <w:sz w:val="32"/>
          <w:szCs w:val="22"/>
        </w:rPr>
      </w:pPr>
      <w:bookmarkStart w:id="228" w:name="_Toc59798229"/>
      <w:bookmarkStart w:id="229" w:name="_Toc61279553"/>
      <w:r>
        <w:rPr>
          <w:rFonts w:hint="eastAsia" w:ascii="Times New Roman" w:hAnsi="Times New Roman" w:eastAsia="方正仿宋_GBK" w:cs="Times New Roman"/>
          <w:b/>
          <w:bCs/>
          <w:sz w:val="32"/>
          <w:szCs w:val="22"/>
        </w:rPr>
        <w:t>提升社会文明程度</w:t>
      </w:r>
      <w:bookmarkEnd w:id="228"/>
      <w:bookmarkEnd w:id="229"/>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推动精神文明建设。大力推动精神文明建设制度化。大力弘扬奋斗精神、科学精神、劳模精神、工匠精神。深化实施核心价值观融入工程，开展核心价值观“爱国季”“敬业季”“诚信季”“友善季”四季主题系列活动。积极推动精神文明建设常态化。加强未成年人思想道德教育，加快构建学校、家庭、社会紧密协作的未成年人教育网络。持续加大社会新风尚、市民新风貌培育力度，整体提升全民素质水平。加强“一约四会”建设，强化移风易俗宣传教育，推进江东新区临江产业园公墓山、江东新区古竹镇潮沙公墓山建设，推动乡村乡风文明进步。建立健全精神文明建设长效机制。持续实施习近平新时代中国特色社会主义思想传播工程，推进江东新区新时代文明实践中心（所、站）工程建设。稳步实施文明创建提质工程、创文十大专项整治提升工程，扎实推进全域文明创建。推进公民道德建设。实施全民科学素质行动计划，倡导科学精神，强化科普工作，推动科普教育基地的建设。广泛开展“我们的节日”“做文明有礼河源人”“好家风，好家训”等系列主题教育实践活动。加强先进模范的评选与宣传，持续开展道德模范、“江东好人”和最美人物选树活动，以先进模范引领道德风尚。加强社会诚信建设，推进诚信建设和志愿服务常态化制度化品牌化。推进网络文明建设，加强网上思想文化阵地建设，倡导文明办网、文明上网，加强网络安全建设，强化网络执法和对网络舆情的引导，深化网络普法。</w:t>
      </w:r>
    </w:p>
    <w:p>
      <w:pPr>
        <w:adjustRightInd w:val="0"/>
        <w:snapToGrid w:val="0"/>
        <w:spacing w:line="580" w:lineRule="exact"/>
        <w:ind w:firstLine="643" w:firstLineChars="200"/>
        <w:rPr>
          <w:rFonts w:ascii="Times New Roman" w:hAnsi="Times New Roman" w:eastAsia="方正仿宋_GBK" w:cs="Times New Roman"/>
          <w:sz w:val="32"/>
          <w:szCs w:val="22"/>
        </w:rPr>
      </w:pPr>
      <w:bookmarkStart w:id="230" w:name="_Toc61279554"/>
      <w:bookmarkStart w:id="231" w:name="_Toc59798230"/>
      <w:r>
        <w:rPr>
          <w:rFonts w:hint="eastAsia" w:ascii="Times New Roman" w:hAnsi="Times New Roman" w:eastAsia="方正仿宋_GBK" w:cs="Times New Roman"/>
          <w:b/>
          <w:bCs/>
          <w:sz w:val="32"/>
          <w:szCs w:val="22"/>
        </w:rPr>
        <w:t>提升公共文化服务水平</w:t>
      </w:r>
      <w:bookmarkEnd w:id="230"/>
      <w:bookmarkEnd w:id="231"/>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完善提升公共文化服务设施。推进会展中心、市民服务中心、青少年宫等重大标志性文化设施数字化建设。大力实施乡镇综合文化站、综合性文化服务中心、特色文化室、农家书屋等民生工程建设，加快完善县（区）、镇（街）、村（居）三级文化设施网络。加大政府对文化事业的投入，加快推进新区博物馆、文化馆、图书馆“三馆”建设，加快江东新区档案馆建设。推进公共数字文化信息服务平台建设，促进公共数字文化传播方式的创新和文化信息资源的共建共享。加快新区党校、行政中心、市民服务中心、老年人活动中心、青少年宫、体育馆等规划建设。加快推进以篮球为主题的体育综合体建设。增强公共服务产品供给。推进公益性公共文化设施免费开放。探索公共文化服务社会化运营新模式，加大政府向社会力量购买公共文化服务的力度。加强公共文化产品生产，创作一批具有鲜明时代精神和新区特色的精品力作，提高新区文化在全市、全省的影响力。积极开展群众喜闻乐见的业余文艺活动和各类民间文化活动，组织开展高雅艺术进机关进校园进企业、“三下乡”、“送欢乐下基层”等活动。配备提供图书借阅、文艺演出、电影放映等服务的流动文化车，开展流动文化服务。繁荣发展社会主义文艺，鼓励对重大革命历史、爱国主义典型、河源新乡贤、新时代好少年等社会主义文艺题材进行文艺创造。</w:t>
      </w:r>
    </w:p>
    <w:p>
      <w:pPr>
        <w:adjustRightInd w:val="0"/>
        <w:snapToGrid w:val="0"/>
        <w:spacing w:line="580" w:lineRule="exact"/>
        <w:ind w:firstLine="643" w:firstLineChars="200"/>
        <w:rPr>
          <w:rFonts w:ascii="Times New Roman" w:hAnsi="Times New Roman" w:eastAsia="方正仿宋_GBK" w:cs="Times New Roman"/>
          <w:sz w:val="32"/>
          <w:szCs w:val="22"/>
        </w:rPr>
      </w:pPr>
      <w:bookmarkStart w:id="232" w:name="_Toc59798231"/>
      <w:bookmarkStart w:id="233" w:name="_Toc61279555"/>
      <w:r>
        <w:rPr>
          <w:rFonts w:hint="eastAsia" w:ascii="Times New Roman" w:hAnsi="Times New Roman" w:eastAsia="方正仿宋_GBK" w:cs="Times New Roman"/>
          <w:b/>
          <w:bCs/>
          <w:sz w:val="32"/>
          <w:szCs w:val="22"/>
        </w:rPr>
        <w:t>提升文化产业竞争力</w:t>
      </w:r>
      <w:bookmarkEnd w:id="232"/>
      <w:bookmarkEnd w:id="233"/>
      <w:r>
        <w:rPr>
          <w:rFonts w:hint="eastAsia" w:ascii="Times New Roman" w:hAnsi="Times New Roman" w:eastAsia="方正仿宋_GBK" w:cs="Times New Roman"/>
          <w:b/>
          <w:bCs/>
          <w:sz w:val="32"/>
          <w:szCs w:val="22"/>
        </w:rPr>
        <w:t>。</w:t>
      </w:r>
      <w:r>
        <w:rPr>
          <w:rFonts w:hint="eastAsia" w:ascii="Times New Roman" w:hAnsi="Times New Roman" w:eastAsia="方正仿宋_GBK" w:cs="Times New Roman"/>
          <w:sz w:val="32"/>
          <w:szCs w:val="22"/>
        </w:rPr>
        <w:t>深度挖掘新区文化价值，努力把文化资源转化为经济优势，促进文化旅游、文化创意等产业发展。加快发展现代文化产业。大力推进文旅融合、科技服务、创意设计、广播影视、广告会展、生态文化等产业的发展。积极探索对接粤港澳大湾区文化产业布局，大力实施“文化</w:t>
      </w:r>
      <w:r>
        <w:rPr>
          <w:rFonts w:ascii="Times New Roman" w:hAnsi="Times New Roman" w:eastAsia="方正仿宋_GBK" w:cs="Times New Roman"/>
          <w:sz w:val="32"/>
          <w:szCs w:val="22"/>
        </w:rPr>
        <w:t>+</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战略，</w:t>
      </w:r>
      <w:r>
        <w:rPr>
          <w:rFonts w:hint="eastAsia" w:ascii="Times New Roman" w:hAnsi="Times New Roman" w:eastAsia="方正仿宋_GBK" w:cs="Times New Roman"/>
          <w:sz w:val="32"/>
          <w:szCs w:val="22"/>
        </w:rPr>
        <w:t>依托越王山景区升级改造、河源石窟佛文化、东江流域文化、商贸古阜街区文化的开发建设，积极推进支撑型特色旅游、精品文化项目建设，</w:t>
      </w:r>
      <w:r>
        <w:rPr>
          <w:rFonts w:ascii="Times New Roman" w:hAnsi="Times New Roman" w:eastAsia="方正仿宋_GBK" w:cs="Times New Roman"/>
          <w:sz w:val="32"/>
          <w:szCs w:val="22"/>
        </w:rPr>
        <w:t>促进文化和旅游融合发展。</w:t>
      </w:r>
      <w:r>
        <w:rPr>
          <w:rFonts w:hint="eastAsia" w:ascii="Times New Roman" w:hAnsi="Times New Roman" w:eastAsia="方正仿宋_GBK" w:cs="Times New Roman"/>
          <w:sz w:val="32"/>
          <w:szCs w:val="22"/>
        </w:rPr>
        <w:t>充分挖掘文化资源，结合东江文化、客家文化、红色文化等，加快工艺美术及艺术品交易、文化传媒、短视频等领域发展，加强创意设计、媒体融合、艺术品交易等环节的关注，不断增强文化创意产业的辐射力、带动力。健全现代文化市场体系。完善文化市场管理机制，加快形成良性竞争的文化市场秩序。积极拓展文化产业的投融资渠道，加大政府项目补贴，鼓励社会资本参与创新文化创意产业投融资模式，加快健全文化产业投融资体系。加强知识产权保护和应用，通过市场化运作，积极发展数字版权交易业务，持续扩大文化产品和服务的有效供给。积极引进国内外知名文化机构。加强对出版物市场以及网络文化环境的整治工作。</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加强新区文化传承融合。</w:t>
      </w:r>
      <w:r>
        <w:rPr>
          <w:rFonts w:hint="eastAsia" w:ascii="Times New Roman" w:hAnsi="Times New Roman" w:eastAsia="方正仿宋_GBK" w:cs="Times New Roman"/>
          <w:sz w:val="32"/>
          <w:szCs w:val="22"/>
        </w:rPr>
        <w:t>依托深厚的客家历史文化资源，深度挖掘新区的客家文化、红色文化，加强非物质文化遗产的保护利用。深入实施文物和非物质文化遗产保护利用工程，对新区文物进行普查，落实文物保护“五纳入”。加强对古建筑、革命旧址、人文景观的修复、保护利用和开发，构建具有客家风情、岭南风格、河源特色的文化资源体系，擦亮新区特色文化品牌。全面落实《河源市革命旧址保护条例》，推进黄沙坑东江特委干部培训学校、中共东江特委指挥所旧址等红色革命遗址的提升建设，打造一批市级红色文化教育基地。加快推进古竹东江抗日战争革命遗址群规划编制工作，推进江东新区红色革命遗址群维护工程建设。加快推进文物保护单位申报工作。加强客家历史文化理论研究。进一步发掘和弘扬新区民间民俗文化，传承发展北帝公三月初二巡游节、杨氏隆益美食、古竹越王传说、潮沙狮舞等民间文化。</w:t>
      </w:r>
    </w:p>
    <w:p>
      <w:pPr>
        <w:adjustRightInd w:val="0"/>
        <w:snapToGrid w:val="0"/>
        <w:spacing w:before="156" w:beforeLines="50" w:after="156" w:afterLines="50" w:line="560" w:lineRule="exact"/>
        <w:jc w:val="center"/>
        <w:outlineLvl w:val="1"/>
        <w:rPr>
          <w:rFonts w:ascii="Times New Roman" w:hAnsi="Times New Roman" w:eastAsia="方正楷体_GBK" w:cs="Times New Roman"/>
          <w:kern w:val="0"/>
          <w:sz w:val="32"/>
          <w:szCs w:val="32"/>
        </w:rPr>
      </w:pPr>
      <w:bookmarkStart w:id="234" w:name="_Toc67502365"/>
      <w:r>
        <w:rPr>
          <w:rFonts w:hint="eastAsia" w:ascii="Times New Roman" w:hAnsi="Times New Roman" w:eastAsia="方正楷体_GBK" w:cs="Times New Roman"/>
          <w:kern w:val="0"/>
          <w:sz w:val="32"/>
          <w:szCs w:val="32"/>
        </w:rPr>
        <w:t>第二节 打造区域教育高地</w:t>
      </w:r>
      <w:bookmarkEnd w:id="226"/>
      <w:bookmarkEnd w:id="227"/>
      <w:bookmarkEnd w:id="234"/>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推进基础教育高质量发展。</w:t>
      </w:r>
      <w:r>
        <w:rPr>
          <w:rFonts w:hint="eastAsia" w:ascii="Times New Roman" w:hAnsi="Times New Roman" w:eastAsia="方正仿宋_GBK" w:cs="Times New Roman"/>
          <w:sz w:val="32"/>
          <w:szCs w:val="22"/>
        </w:rPr>
        <w:t>全面普及学前教育。坚持政府主导、社会参与、公办民办并举，深化体制机制改革，构建广覆盖、保基本、有质量的学前教育公共服务体系。强化学前教育规划建设，逐步完善镇（街）、村（居）学前教育网络，重点保障农村适龄儿童、外来务工人员随迁儿童和全面实施两孩政策城镇新增适龄儿童入园需求。扩大普惠园数量和覆盖面，引导政府产权的配套幼儿园优先办成普惠园、公办园或非营利性幼儿园。鼓励社会力量举办学前教育，大力引导并支持民办幼儿园提供优质普惠的学前教育。关注</w:t>
      </w:r>
      <w:r>
        <w:rPr>
          <w:rFonts w:ascii="Times New Roman" w:hAnsi="Times New Roman" w:eastAsia="方正仿宋_GBK" w:cs="Times New Roman"/>
          <w:sz w:val="32"/>
          <w:szCs w:val="22"/>
        </w:rPr>
        <w:t>0-7岁残疾儿童学前特殊教育，继续推进“医教结合”的康</w:t>
      </w:r>
      <w:r>
        <w:rPr>
          <w:rFonts w:hint="eastAsia" w:ascii="Times New Roman" w:hAnsi="Times New Roman" w:eastAsia="方正仿宋_GBK" w:cs="Times New Roman"/>
          <w:sz w:val="32"/>
          <w:szCs w:val="22"/>
        </w:rPr>
        <w:t>复教育模式，建设江东新区特殊学校，鼓励有条件的街道建设特殊学校或特殊教育资源教室，保障适龄残疾儿童的受教育权利。均衡发展义务教育。优化配置中小学教育资源，积极破解城东片区、古竹圩镇的学位紧缺问题。实施义务教育学校建设五年攻坚行动，至</w:t>
      </w:r>
      <w:r>
        <w:rPr>
          <w:rFonts w:ascii="Times New Roman" w:hAnsi="Times New Roman" w:eastAsia="方正仿宋_GBK" w:cs="Times New Roman"/>
          <w:sz w:val="32"/>
          <w:szCs w:val="22"/>
        </w:rPr>
        <w:t>2025年，新建义务教育学校4所，扩建、续建、改建义务教育学校9所</w:t>
      </w:r>
      <w:r>
        <w:rPr>
          <w:rFonts w:hint="eastAsia" w:ascii="Times New Roman" w:hAnsi="Times New Roman" w:eastAsia="方正仿宋_GBK" w:cs="Times New Roman"/>
          <w:sz w:val="32"/>
          <w:szCs w:val="22"/>
        </w:rPr>
        <w:t>。逐步实施义务教育均衡优质标准化建设，利用信息化手段扩大优质教育资源覆盖面，逐步缩小区域、城乡、校际差距。提升薄弱学校办学条件，改扩建一批学校的教室、运动场、宿舍等基础设施。积极推进与广深等城市义务教育公办学校教师校长学习交流，推进小班化教育和素质教育，深化基础教育课程改革工作。完善外来人员随迁子女入学政策。落实城乡义务教育阶段家庭经济困难寄宿生的生活费补助政策。多元发展高中教育。坚持均衡和多样化相结合，科学调整高中阶段学校布局，扩大优化高中教育资源，破解高中学位紧缺问题，引导古竹中学往独立高中发展，加快江东新区高级中学建设。积极支持现有民办学校扩建扩招，增加优质民办教育学位。强化与大湾区优质教育资源的对接合作，推进高中教育内涵发展，深化培养模式多样化实践，深化普通高中特色示范学校建设，打造成为大湾区学子的“成长跳板”。探索适应新高考改革的高中教育教学管理体制改革和创新。</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推进职业教育提质培优。</w:t>
      </w:r>
      <w:r>
        <w:rPr>
          <w:rFonts w:hint="eastAsia" w:ascii="Times New Roman" w:hAnsi="Times New Roman" w:eastAsia="方正仿宋_GBK" w:cs="Times New Roman"/>
          <w:sz w:val="32"/>
          <w:szCs w:val="22"/>
        </w:rPr>
        <w:t>加强与广深港澳等地区知名学校合作，鼓励粤港澳高校联盟学校在新区设立分支机构、教育培训基地，促进一批河源支柱产业急需的重点学科和创新平台建立。积极拓展与大湾区高校和专业培训机构在深化招生、教师培训、师生交流、技能竞赛等方面合作，规划建设一批职业教育实训交流基地。加快职业教育发展，落实省高技能人才振兴、职业教育提升、南粤工匠培养等技能提升工程，建设江东新区中职学校。探索推行“校企双制、工学一体”办学模式，实施职业学校对接产业园工程，在古竹产业园等产业发展集中区域谋划建设</w:t>
      </w:r>
      <w:r>
        <w:rPr>
          <w:rFonts w:ascii="Times New Roman" w:hAnsi="Times New Roman" w:eastAsia="方正仿宋_GBK" w:cs="Times New Roman"/>
          <w:sz w:val="32"/>
          <w:szCs w:val="22"/>
        </w:rPr>
        <w:t>1-2所中等职业学校。分级逐步落实中等职业教育免学费政</w:t>
      </w:r>
      <w:r>
        <w:rPr>
          <w:rFonts w:hint="eastAsia" w:ascii="Times New Roman" w:hAnsi="Times New Roman" w:eastAsia="方正仿宋_GBK" w:cs="Times New Roman"/>
          <w:sz w:val="32"/>
          <w:szCs w:val="22"/>
        </w:rPr>
        <w:t>策。建立以企业为主体、以职业院校、培训机构为基础，产学紧密联系、政府推动与社会支持相结合的高技能人才培养培训体系。</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打造高素质专业化创新型教师队伍。</w:t>
      </w:r>
      <w:r>
        <w:rPr>
          <w:rFonts w:hint="eastAsia" w:ascii="Times New Roman" w:hAnsi="Times New Roman" w:eastAsia="方正仿宋_GBK" w:cs="Times New Roman"/>
          <w:sz w:val="32"/>
          <w:szCs w:val="22"/>
        </w:rPr>
        <w:t>加强师德师风建设，建立师德考核负面清单，落实师德“一票否决”制度，打造高素质思政教师队伍。坚持“八个统一”创新思政教学，将社会主义核心价值观融入教育教学全过程，用新时代中国特色社会主义思想铸魂育人。制定实施《江东新区中小学教学常规工作实施和考核标准》，不断提升教师队伍的素质和能力，重视基层师资建设，配齐配强乡村教师。加快职业教育现代化发展，积极探索组建教育联合体，加强与“双一流”高校合作建设，推动优质教师交流合作。优化教师年龄结构，促进教师学科结构性缺编问题，加大学校教育科研、校本培训力度，完善教育科研培养、激励机制，通过“三名工作室”等形式大力培养骨干教师、名教师、教育科研人才和学科带头人，利用名师和教育科研人员带动年轻教师的发展方式，促进教师年龄结构优化和教学质量提升。加快新区教师发展中心建设。积极提高教师学历，设立教师学历提升专项奖补资金，鼓励在职进修，至</w:t>
      </w:r>
      <w:r>
        <w:rPr>
          <w:rFonts w:ascii="Times New Roman" w:hAnsi="Times New Roman" w:eastAsia="方正仿宋_GBK" w:cs="Times New Roman"/>
          <w:sz w:val="32"/>
          <w:szCs w:val="22"/>
        </w:rPr>
        <w:t>2025年，幼儿园具有大专以上学历的专任教师比例达90%以上，小学具有本科以上学历的专任教师比例达90%以上，初中具有本科以上学历的专任教师比例达95%以上，普通高中具有研究生学历或硕士学位以上的教师比例达10%以上。</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加快建设智慧校园。</w:t>
      </w:r>
      <w:r>
        <w:rPr>
          <w:rFonts w:hint="eastAsia" w:ascii="Times New Roman" w:hAnsi="Times New Roman" w:eastAsia="方正仿宋_GBK" w:cs="Times New Roman"/>
          <w:sz w:val="32"/>
          <w:szCs w:val="22"/>
        </w:rPr>
        <w:t>加快完善校园信息技术基础设施，实施教育信息化2.0行动计划，发展远程教育、网络教育，推动优质资源共享，建设智慧校园。精准把握“互联网</w:t>
      </w:r>
      <w:r>
        <w:rPr>
          <w:rFonts w:ascii="Times New Roman" w:hAnsi="Times New Roman" w:eastAsia="方正仿宋_GBK" w:cs="Times New Roman"/>
          <w:sz w:val="32"/>
          <w:szCs w:val="22"/>
        </w:rPr>
        <w:t>+教育</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发展趋势，充分发挥教育信息化在教育现代化建设中的支撑和带动作用。推进河源市教育信息化平台（河源云）应用，完善教育管理公共服务平台，形成统一、规范的教育公共信息服务系统。改进校园智能化管理</w:t>
      </w:r>
      <w:r>
        <w:rPr>
          <w:rFonts w:hint="eastAsia" w:ascii="Times New Roman" w:hAnsi="Times New Roman" w:eastAsia="方正仿宋_GBK" w:cs="Times New Roman"/>
          <w:sz w:val="32"/>
          <w:szCs w:val="22"/>
        </w:rPr>
        <w:t>，推进信息化中心学校建设，提升校园数字化集成水平。实施“教育带宽网络提速工程”，建成</w:t>
      </w:r>
      <w:r>
        <w:rPr>
          <w:rFonts w:ascii="Times New Roman" w:hAnsi="Times New Roman" w:eastAsia="方正仿宋_GBK" w:cs="Times New Roman"/>
          <w:sz w:val="32"/>
          <w:szCs w:val="22"/>
        </w:rPr>
        <w:t>10G主干宽带网络，扎实推进全区中小学网络学习</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人人通</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工程。推进智慧课堂建设，促进多样化、个性化学习。深入开展</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一师一优课、一课一名师</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等信息化教学推广活动，促进教学手段和教学方法变革，鼓励学生利用信息化手段主动学习、自主学习、合作学习，提升学生学习能力、实践能力和创新能力。</w:t>
      </w:r>
      <w:r>
        <w:rPr>
          <w:rFonts w:hint="eastAsia" w:ascii="Times New Roman" w:hAnsi="Times New Roman" w:eastAsia="方正仿宋_GBK" w:cs="Times New Roman"/>
          <w:sz w:val="32"/>
          <w:szCs w:val="22"/>
        </w:rPr>
        <w:t>推进学科教学资源库建设，提升教学资源的信息化应用程度。</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600" w:lineRule="exact"/>
              <w:jc w:val="center"/>
              <w:rPr>
                <w:rFonts w:ascii="Times New Roman" w:hAnsi="Times New Roman" w:eastAsia="方正仿宋_GBK" w:cs="Times New Roman"/>
                <w:b/>
                <w:bCs/>
                <w:sz w:val="32"/>
                <w:szCs w:val="22"/>
              </w:rPr>
            </w:pPr>
            <w:bookmarkStart w:id="235" w:name="_Toc59798234"/>
            <w:r>
              <w:rPr>
                <w:rFonts w:hint="eastAsia" w:ascii="Times New Roman" w:hAnsi="Times New Roman" w:eastAsia="方正仿宋_GBK" w:cs="Times New Roman"/>
                <w:b/>
                <w:bCs/>
                <w:sz w:val="28"/>
                <w:szCs w:val="21"/>
              </w:rPr>
              <w:t xml:space="preserve">专栏10 </w:t>
            </w:r>
            <w:r>
              <w:rPr>
                <w:rFonts w:ascii="Times New Roman" w:hAnsi="Times New Roman" w:eastAsia="方正仿宋_GBK" w:cs="Times New Roman"/>
                <w:b/>
                <w:bCs/>
                <w:sz w:val="28"/>
                <w:szCs w:val="21"/>
              </w:rPr>
              <w:t xml:space="preserve"> </w:t>
            </w:r>
            <w:r>
              <w:rPr>
                <w:rFonts w:hint="eastAsia" w:ascii="Times New Roman" w:hAnsi="Times New Roman" w:eastAsia="方正仿宋_GBK" w:cs="Times New Roman"/>
                <w:b/>
                <w:bCs/>
                <w:sz w:val="28"/>
                <w:szCs w:val="21"/>
              </w:rPr>
              <w:t>教育设施重点工程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90" w:hRule="atLeast"/>
        </w:trPr>
        <w:tc>
          <w:tcPr>
            <w:tcW w:w="5000" w:type="pct"/>
          </w:tcPr>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江东新区古竹实验小学：</w:t>
            </w:r>
            <w:r>
              <w:rPr>
                <w:rFonts w:hint="eastAsia" w:ascii="Times New Roman" w:hAnsi="Times New Roman" w:eastAsia="方正仿宋_GBK" w:cs="Times New Roman"/>
                <w:sz w:val="24"/>
              </w:rPr>
              <w:t>拟建一所完全独立的实验小学，办学规模为</w:t>
            </w:r>
            <w:r>
              <w:rPr>
                <w:rFonts w:ascii="Times New Roman" w:hAnsi="Times New Roman" w:eastAsia="方正仿宋_GBK" w:cs="Times New Roman"/>
                <w:sz w:val="24"/>
              </w:rPr>
              <w:t>48个教学班，在校生2160人。</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江东新区城东学校迁建项目：</w:t>
            </w:r>
            <w:r>
              <w:rPr>
                <w:rFonts w:hint="eastAsia" w:ascii="Times New Roman" w:hAnsi="Times New Roman" w:eastAsia="方正仿宋_GBK" w:cs="Times New Roman"/>
                <w:sz w:val="24"/>
              </w:rPr>
              <w:t>为</w:t>
            </w:r>
            <w:r>
              <w:rPr>
                <w:rFonts w:ascii="Times New Roman" w:hAnsi="Times New Roman" w:eastAsia="方正仿宋_GBK" w:cs="Times New Roman"/>
                <w:sz w:val="24"/>
              </w:rPr>
              <w:t>54个班九年一贯制学校，其中小学36个班，初中18个班。</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华南师范大学附属河源江东星河学校：</w:t>
            </w:r>
            <w:r>
              <w:rPr>
                <w:rFonts w:hint="eastAsia" w:ascii="Times New Roman" w:hAnsi="Times New Roman" w:eastAsia="方正仿宋_GBK" w:cs="Times New Roman"/>
                <w:sz w:val="24"/>
              </w:rPr>
              <w:t>规划包含小学和初中，合计</w:t>
            </w:r>
            <w:r>
              <w:rPr>
                <w:rFonts w:ascii="Times New Roman" w:hAnsi="Times New Roman" w:eastAsia="方正仿宋_GBK" w:cs="Times New Roman"/>
                <w:sz w:val="24"/>
              </w:rPr>
              <w:t>90个班。</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江东新区“十四五”期间学校基础设施“补短板”项目：</w:t>
            </w:r>
            <w:r>
              <w:rPr>
                <w:rFonts w:hint="eastAsia" w:ascii="Times New Roman" w:hAnsi="Times New Roman" w:eastAsia="方正仿宋_GBK" w:cs="Times New Roman"/>
                <w:sz w:val="24"/>
              </w:rPr>
              <w:t>修缮江东新区临江、古竹、城东公办学校基础设施。</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临江中学高中部建设（新建江东新区高级中学）：</w:t>
            </w:r>
            <w:r>
              <w:rPr>
                <w:rFonts w:hint="eastAsia" w:ascii="Times New Roman" w:hAnsi="Times New Roman" w:eastAsia="方正仿宋_GBK" w:cs="Times New Roman"/>
                <w:sz w:val="24"/>
              </w:rPr>
              <w:t>建设教学楼、行政楼、阶梯教室、图书馆、食堂、体育馆、教师宿舍，学生宿舍、学校附属设施、地下车库。</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江东新区临江中心幼儿园迁建项目：</w:t>
            </w:r>
            <w:r>
              <w:rPr>
                <w:rFonts w:hint="eastAsia" w:ascii="Times New Roman" w:hAnsi="Times New Roman" w:eastAsia="方正仿宋_GBK" w:cs="Times New Roman"/>
                <w:sz w:val="24"/>
              </w:rPr>
              <w:t>包括幼儿园校舍建筑和地下停车位以及配套建设幼儿园室外活动场地及附属设施和购置幼儿园设施设备等。拟建幼儿园总规模为</w:t>
            </w:r>
            <w:r>
              <w:rPr>
                <w:rFonts w:ascii="Times New Roman" w:hAnsi="Times New Roman" w:eastAsia="方正仿宋_GBK" w:cs="Times New Roman"/>
                <w:sz w:val="24"/>
              </w:rPr>
              <w:t>21个班，幼儿人数为735人。办园性质为公办幼儿园，办园形式为学前教育全日制。</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江东新区古竹镇新智中学扩建项目：</w:t>
            </w:r>
            <w:r>
              <w:rPr>
                <w:rFonts w:hint="eastAsia" w:ascii="Times New Roman" w:hAnsi="Times New Roman" w:eastAsia="方正仿宋_GBK" w:cs="Times New Roman"/>
                <w:sz w:val="24"/>
              </w:rPr>
              <w:t>建设内容包括新建一栋</w:t>
            </w:r>
            <w:r>
              <w:rPr>
                <w:rFonts w:ascii="Times New Roman" w:hAnsi="Times New Roman" w:eastAsia="方正仿宋_GBK" w:cs="Times New Roman"/>
                <w:sz w:val="24"/>
              </w:rPr>
              <w:t>6层综合楼、一栋6层教学楼、一栋5层教师宿舍楼、两栋6层学生宿舍楼、一栋2层食堂、一层配电房及配套运动广场、道路、室外水电安装、围墙、拆 除旧房屋、场地回填土方及挡土墙等工程。</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江东新区古竹镇古竹中学扩建项目：</w:t>
            </w:r>
            <w:r>
              <w:rPr>
                <w:rFonts w:hint="eastAsia" w:ascii="Times New Roman" w:hAnsi="Times New Roman" w:eastAsia="方正仿宋_GBK" w:cs="Times New Roman"/>
                <w:sz w:val="24"/>
              </w:rPr>
              <w:t>建设内容包括新建教学楼、教师周转房、宿舍楼</w:t>
            </w:r>
            <w:r>
              <w:rPr>
                <w:rFonts w:ascii="Times New Roman" w:hAnsi="Times New Roman" w:eastAsia="方正仿宋_GBK" w:cs="Times New Roman"/>
                <w:sz w:val="24"/>
              </w:rPr>
              <w:t>三、宿舍楼四以及配套停车场、挡土墙、围墙、拆除旧房屋、路面排水系统等工程建设。</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凤凰山学校：</w:t>
            </w:r>
            <w:r>
              <w:rPr>
                <w:rFonts w:hint="eastAsia" w:ascii="Times New Roman" w:hAnsi="Times New Roman" w:eastAsia="方正仿宋_GBK" w:cs="Times New Roman"/>
                <w:sz w:val="24"/>
              </w:rPr>
              <w:t>办学规模</w:t>
            </w:r>
            <w:r>
              <w:rPr>
                <w:rFonts w:ascii="Times New Roman" w:hAnsi="Times New Roman" w:eastAsia="方正仿宋_GBK" w:cs="Times New Roman"/>
                <w:sz w:val="24"/>
              </w:rPr>
              <w:t>60个班，学位2790个，教师167人。分初中部、小学部，两部分区域相对分开，共用运动场、体育馆等公用设施。</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梧桐一路南侧新建一所小学：</w:t>
            </w:r>
            <w:r>
              <w:rPr>
                <w:rFonts w:ascii="Times New Roman" w:hAnsi="Times New Roman" w:eastAsia="方正仿宋_GBK" w:cs="Times New Roman"/>
                <w:sz w:val="24"/>
              </w:rPr>
              <w:t>拟建一所完全独立的实验小学，办学规模为36个教学班，学位1620人。</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江东新区职业技术学校：</w:t>
            </w:r>
            <w:r>
              <w:rPr>
                <w:rFonts w:ascii="Times New Roman" w:hAnsi="Times New Roman" w:eastAsia="方正仿宋_GBK" w:cs="Times New Roman"/>
                <w:sz w:val="24"/>
              </w:rPr>
              <w:t>办学规模为3000人。</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江东新区特殊学校：</w:t>
            </w:r>
            <w:r>
              <w:rPr>
                <w:rFonts w:ascii="Times New Roman" w:hAnsi="Times New Roman" w:eastAsia="方正仿宋_GBK" w:cs="Times New Roman"/>
                <w:sz w:val="24"/>
              </w:rPr>
              <w:t>办学规模为18个教学班。</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凤凰台幼儿园：</w:t>
            </w:r>
            <w:r>
              <w:rPr>
                <w:rFonts w:ascii="Times New Roman" w:hAnsi="Times New Roman" w:eastAsia="方正仿宋_GBK" w:cs="Times New Roman"/>
                <w:sz w:val="24"/>
              </w:rPr>
              <w:t>拟建幼儿园总规模为18个班，学位630人。办园性质为公办幼儿园，办园形式为学前教育全日制。</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古竹大众岭幼儿园：</w:t>
            </w:r>
            <w:r>
              <w:rPr>
                <w:rFonts w:ascii="Times New Roman" w:hAnsi="Times New Roman" w:eastAsia="方正仿宋_GBK" w:cs="Times New Roman"/>
                <w:sz w:val="24"/>
              </w:rPr>
              <w:t>拟建幼儿园总规模为18个班，学位630人。办园性质为公办幼儿园，办园形式为学前教育全日制。</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古竹圩镇内新建一所幼儿园：</w:t>
            </w:r>
            <w:r>
              <w:rPr>
                <w:rFonts w:ascii="Times New Roman" w:hAnsi="Times New Roman" w:eastAsia="方正仿宋_GBK" w:cs="Times New Roman"/>
                <w:sz w:val="24"/>
              </w:rPr>
              <w:t>拟建幼儿园总规模为18个班，学位630人。办园性质为公办幼儿园，办园形式为学前教育全日制。</w:t>
            </w:r>
          </w:p>
          <w:p>
            <w:pPr>
              <w:adjustRightInd w:val="0"/>
              <w:snapToGrid w:val="0"/>
              <w:spacing w:line="600" w:lineRule="exact"/>
              <w:ind w:firstLine="480" w:firstLineChars="200"/>
              <w:rPr>
                <w:rFonts w:ascii="Times New Roman" w:hAnsi="Times New Roman" w:eastAsia="方正仿宋_GBK" w:cs="Times New Roman"/>
                <w:sz w:val="24"/>
              </w:rPr>
            </w:pPr>
          </w:p>
        </w:tc>
      </w:tr>
    </w:tbl>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236" w:name="_Toc61279558"/>
      <w:bookmarkStart w:id="237" w:name="_Toc67502366"/>
      <w:r>
        <w:rPr>
          <w:rFonts w:hint="eastAsia" w:ascii="Times New Roman" w:hAnsi="Times New Roman" w:eastAsia="方正楷体_GBK" w:cs="Times New Roman"/>
          <w:kern w:val="0"/>
          <w:sz w:val="32"/>
          <w:szCs w:val="32"/>
        </w:rPr>
        <w:t>第三节 大力建设健康江东</w:t>
      </w:r>
      <w:bookmarkEnd w:id="235"/>
      <w:bookmarkEnd w:id="236"/>
      <w:bookmarkEnd w:id="237"/>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全面提高医疗卫生服务能力。</w:t>
      </w:r>
      <w:r>
        <w:rPr>
          <w:rFonts w:hint="eastAsia" w:ascii="Times New Roman" w:hAnsi="Times New Roman" w:eastAsia="方正仿宋_GBK" w:cs="Times New Roman"/>
          <w:sz w:val="32"/>
          <w:szCs w:val="22"/>
        </w:rPr>
        <w:t>建立以现代化综合医院为龙头、专科医院为辅助、社区卫生服务为基础的新型城市医疗体系。推动现有医疗设施优化升级。推动深河人民医院运营，打造粤东北区域医疗中心。加快推进江东新区妇幼保健院、江东新区古竹人民医院扩建项目、江东新区临江卫生院改造项目等建设，加强城东街道医疗卫生服务，补齐公共卫生领域短板。鼓励大湾区先进医疗机构与江东新区组建跨区域医疗联合体，进而提升河源整体医疗服务水平。加强中医重点专科建设。完善疾病预防与控制、职业病防治体系。</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深化医疗卫生体制改革。</w:t>
      </w:r>
      <w:r>
        <w:rPr>
          <w:rFonts w:hint="eastAsia" w:ascii="Times New Roman" w:hAnsi="Times New Roman" w:eastAsia="方正仿宋_GBK" w:cs="Times New Roman"/>
          <w:sz w:val="32"/>
          <w:szCs w:val="22"/>
        </w:rPr>
        <w:t>加快推进公立医院改革，建立科学合理的公立医院补偿机制。建立现代医院管理制度，积极探索公立医院管办分开的多种有效实现形式，完善公立医院法人治理结构和治理机制。进一步巩固和完善基层医疗卫生机构综合改革工作，构建公立医院与社区卫生服务机构的分工协作模式，提升社区卫生服务机构服务能力。加强家庭医生队伍建设，实现家庭医生签约全覆盖。实行基层医疗卫生机构公益二类绩效管理，探索市场化薪酬分配方式。推进医疗卫生机构和执业人员诚信体系建设。探索基本医疗保险一体化，深化医保支付制度改革。</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深入开展全民健康运动。</w:t>
      </w:r>
      <w:r>
        <w:rPr>
          <w:rFonts w:hint="eastAsia" w:ascii="Times New Roman" w:hAnsi="Times New Roman" w:eastAsia="方正仿宋_GBK" w:cs="Times New Roman"/>
          <w:sz w:val="32"/>
          <w:szCs w:val="22"/>
        </w:rPr>
        <w:t>深入实施《广东省全民健身条例》，积极创建基本公共体育服务示范区，推动基本公共体育服务均等化、标准化发展，加快形成全民健身共建共治共享治理格局。完善提升民众体育建设设施配套，加快建设“两场一馆一池”项目，逐步建成区、镇（街）、村（社区）三级群众健身场地设施网络，推进建设城乡</w:t>
      </w:r>
      <w:r>
        <w:rPr>
          <w:rFonts w:ascii="Times New Roman" w:hAnsi="Times New Roman" w:eastAsia="方正仿宋_GBK" w:cs="Times New Roman"/>
          <w:sz w:val="32"/>
          <w:szCs w:val="22"/>
        </w:rPr>
        <w:t>15分钟健身圈。推动公共体育设施有效向社会开放。加快推进基本公共体育服务信息化建设，建立数据采集和监测体系。创新全民健身组织方式、活动开展方式、服务模式，开展实施效果评估和满意度调查，加快建立水平高、内容完备、惠及全民</w:t>
      </w:r>
      <w:r>
        <w:rPr>
          <w:rFonts w:hint="eastAsia" w:ascii="Times New Roman" w:hAnsi="Times New Roman" w:eastAsia="方正仿宋_GBK" w:cs="Times New Roman"/>
          <w:sz w:val="32"/>
          <w:szCs w:val="22"/>
        </w:rPr>
        <w:t>的基本公共体育服务体系。加快青少年体育发展，保障特殊群体基本体育权利。广泛开展群众性体育活动，继续开展“全民健身日”系列活动。</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adjustRightInd w:val="0"/>
              <w:snapToGrid w:val="0"/>
              <w:spacing w:line="600" w:lineRule="exact"/>
              <w:jc w:val="center"/>
              <w:rPr>
                <w:rFonts w:ascii="Times New Roman" w:hAnsi="Times New Roman" w:eastAsia="方正仿宋_GBK" w:cs="Times New Roman"/>
                <w:b/>
                <w:bCs/>
                <w:sz w:val="32"/>
                <w:szCs w:val="22"/>
              </w:rPr>
            </w:pPr>
            <w:bookmarkStart w:id="238" w:name="_Toc59798235"/>
            <w:r>
              <w:rPr>
                <w:rFonts w:hint="eastAsia" w:ascii="Times New Roman" w:hAnsi="Times New Roman" w:eastAsia="方正仿宋_GBK" w:cs="Times New Roman"/>
                <w:b/>
                <w:bCs/>
                <w:sz w:val="28"/>
                <w:szCs w:val="21"/>
              </w:rPr>
              <w:t xml:space="preserve">专栏11 </w:t>
            </w:r>
            <w:r>
              <w:rPr>
                <w:rFonts w:ascii="Times New Roman" w:hAnsi="Times New Roman" w:eastAsia="方正仿宋_GBK" w:cs="Times New Roman"/>
                <w:b/>
                <w:bCs/>
                <w:sz w:val="28"/>
                <w:szCs w:val="21"/>
              </w:rPr>
              <w:t xml:space="preserve"> </w:t>
            </w:r>
            <w:r>
              <w:rPr>
                <w:rFonts w:hint="eastAsia" w:ascii="Times New Roman" w:hAnsi="Times New Roman" w:eastAsia="方正仿宋_GBK" w:cs="Times New Roman"/>
                <w:b/>
                <w:bCs/>
                <w:sz w:val="28"/>
                <w:szCs w:val="21"/>
              </w:rPr>
              <w:t>医疗卫生设施重点工程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江东新区妇幼保健院：</w:t>
            </w:r>
            <w:r>
              <w:rPr>
                <w:rFonts w:hint="eastAsia" w:ascii="Times New Roman" w:hAnsi="Times New Roman" w:eastAsia="方正仿宋_GBK" w:cs="Times New Roman"/>
                <w:sz w:val="24"/>
              </w:rPr>
              <w:t>拟建设床位</w:t>
            </w:r>
            <w:r>
              <w:rPr>
                <w:rFonts w:ascii="Times New Roman" w:hAnsi="Times New Roman" w:eastAsia="方正仿宋_GBK" w:cs="Times New Roman"/>
                <w:sz w:val="24"/>
              </w:rPr>
              <w:t>500位，建设内容包括门诊综合大楼、医技楼、住院楼、车库地下室等配套用房以及公用工程系统，并配套建设红线内道路与广场、绿化围墙等设施。</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江东新区疾控中心：</w:t>
            </w:r>
            <w:r>
              <w:rPr>
                <w:rFonts w:hint="eastAsia" w:ascii="Times New Roman" w:hAnsi="Times New Roman" w:eastAsia="方正仿宋_GBK" w:cs="Times New Roman"/>
                <w:sz w:val="24"/>
              </w:rPr>
              <w:t>在临江卫生院老院拆除新建后，利用高望分院现有办公场所，筹备改建疾控中心办公室、卫生应急和传染病预防控制科、免疫规划科、非传染性疾病预防控制科、卫生监测科、检验科、预防性健康体检科、基本公共卫生项目办公室等科室</w:t>
            </w:r>
            <w:r>
              <w:rPr>
                <w:rFonts w:ascii="Times New Roman" w:hAnsi="Times New Roman" w:eastAsia="方正仿宋_GBK" w:cs="Times New Roman"/>
                <w:sz w:val="24"/>
              </w:rPr>
              <w:t>。</w:t>
            </w:r>
          </w:p>
          <w:p>
            <w:pPr>
              <w:adjustRightInd w:val="0"/>
              <w:snapToGrid w:val="0"/>
              <w:spacing w:line="600" w:lineRule="exact"/>
              <w:ind w:firstLine="482" w:firstLineChars="200"/>
              <w:rPr>
                <w:rFonts w:ascii="Times New Roman" w:hAnsi="Times New Roman" w:eastAsia="方正仿宋_GBK" w:cs="Times New Roman"/>
                <w:sz w:val="24"/>
              </w:rPr>
            </w:pPr>
            <w:bookmarkStart w:id="239" w:name="_Hlk65855544"/>
            <w:r>
              <w:rPr>
                <w:rFonts w:hint="eastAsia" w:ascii="Times New Roman" w:hAnsi="Times New Roman" w:eastAsia="方正仿宋_GBK" w:cs="Times New Roman"/>
                <w:b/>
                <w:bCs/>
                <w:sz w:val="24"/>
              </w:rPr>
              <w:t>江东新区临江卫生院改造项目</w:t>
            </w:r>
            <w:bookmarkEnd w:id="239"/>
            <w:r>
              <w:rPr>
                <w:rFonts w:hint="eastAsia" w:ascii="Times New Roman" w:hAnsi="Times New Roman" w:eastAsia="方正仿宋_GBK" w:cs="Times New Roman"/>
                <w:b/>
                <w:bCs/>
                <w:sz w:val="24"/>
              </w:rPr>
              <w:t>：</w:t>
            </w:r>
            <w:r>
              <w:rPr>
                <w:rFonts w:hint="eastAsia" w:ascii="Times New Roman" w:hAnsi="Times New Roman" w:eastAsia="方正仿宋_GBK" w:cs="Times New Roman"/>
                <w:sz w:val="24"/>
              </w:rPr>
              <w:t>内设门诊、急诊、住院部、药剂、辅技、中医科</w:t>
            </w:r>
            <w:r>
              <w:rPr>
                <w:rFonts w:ascii="Times New Roman" w:hAnsi="Times New Roman" w:eastAsia="方正仿宋_GBK" w:cs="Times New Roman"/>
                <w:sz w:val="24"/>
              </w:rPr>
              <w:t>/馆、公卫中心、预防接种门诊、妇科、牙科、儿保科、行政等科室。</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江东新区古竹人民医院扩建项目：</w:t>
            </w:r>
            <w:r>
              <w:rPr>
                <w:rFonts w:hint="eastAsia" w:ascii="Times New Roman" w:hAnsi="Times New Roman" w:eastAsia="方正仿宋_GBK" w:cs="Times New Roman"/>
                <w:sz w:val="24"/>
              </w:rPr>
              <w:t>新建</w:t>
            </w:r>
            <w:r>
              <w:rPr>
                <w:rFonts w:ascii="Times New Roman" w:hAnsi="Times New Roman" w:eastAsia="方正仿宋_GBK" w:cs="Times New Roman"/>
                <w:sz w:val="24"/>
              </w:rPr>
              <w:t>1栋12层住院大楼、1栋5层门诊楼、2层地下室等。</w:t>
            </w:r>
          </w:p>
          <w:p>
            <w:pPr>
              <w:adjustRightInd w:val="0"/>
              <w:snapToGrid w:val="0"/>
              <w:spacing w:line="60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江东新区城东社区卫生服务中心：</w:t>
            </w:r>
            <w:r>
              <w:rPr>
                <w:rFonts w:hint="eastAsia" w:ascii="Times New Roman" w:hAnsi="Times New Roman" w:eastAsia="方正仿宋_GBK" w:cs="Times New Roman"/>
                <w:sz w:val="24"/>
              </w:rPr>
              <w:t>建设综合楼、辅助医技楼、停车场、绿化等。</w:t>
            </w:r>
          </w:p>
        </w:tc>
      </w:tr>
    </w:tbl>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240" w:name="_Toc61279560"/>
      <w:bookmarkStart w:id="241" w:name="_Toc67502367"/>
      <w:bookmarkStart w:id="242" w:name="_Toc61279559"/>
      <w:r>
        <w:rPr>
          <w:rFonts w:hint="eastAsia" w:ascii="Times New Roman" w:hAnsi="Times New Roman" w:eastAsia="方正楷体_GBK" w:cs="Times New Roman"/>
          <w:kern w:val="0"/>
          <w:sz w:val="32"/>
          <w:szCs w:val="32"/>
        </w:rPr>
        <w:t>第四节 健全多层次社会保障体系</w:t>
      </w:r>
      <w:bookmarkEnd w:id="240"/>
      <w:bookmarkEnd w:id="241"/>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提高就业和收入水平。</w:t>
      </w:r>
      <w:r>
        <w:rPr>
          <w:rFonts w:hint="eastAsia" w:ascii="Times New Roman" w:hAnsi="Times New Roman" w:eastAsia="方正仿宋_GBK" w:cs="Times New Roman"/>
          <w:sz w:val="32"/>
          <w:szCs w:val="22"/>
        </w:rPr>
        <w:t>实施高质量就业。坚持以促进就业、鼓励创业为重点，主动适应经济发展新常态，积极推进“促进就业十一条”等政策落实，全力促进就业创业。结合新材料、高端装备制造、大数据、生命健康等战略性新兴产业发展需求，积极引导帮助中小微企业开展职工技能提升培训，推动建立适应现代产业发展需要的技术工人队伍。持续推进“广东技工”“粤菜师傅”“南粤家政”等培训工程，健全公共就业服务体系。积极通过举办创业培训班、开展创业贷款担保贴息、搭建创业平台等方式扶持创业发展。积极推进公共就业服务、中小企业服务以及特殊人群就业服务等机构建设，增强公共就业人才服务能力。优化收入分配格局。努力实现城乡居民收</w:t>
      </w:r>
      <w:r>
        <w:rPr>
          <w:rFonts w:hint="eastAsia" w:ascii="Times New Roman" w:hAnsi="Times New Roman" w:eastAsia="方正仿宋_GBK" w:cs="Times New Roman"/>
          <w:sz w:val="32"/>
          <w:szCs w:val="22"/>
          <w:lang w:val="en-US" w:eastAsia="zh-CN"/>
        </w:rPr>
        <w:t>入</w:t>
      </w:r>
      <w:r>
        <w:rPr>
          <w:rFonts w:hint="eastAsia" w:ascii="Times New Roman" w:hAnsi="Times New Roman" w:eastAsia="方正仿宋_GBK" w:cs="Times New Roman"/>
          <w:sz w:val="32"/>
          <w:szCs w:val="22"/>
        </w:rPr>
        <w:t>增长和经济发展同步、劳动报酬增长和劳动生产率提高同步。改进和完善职工收入与经济效益协调增长机制，完善企业工资指导线和最低工资制度，在提高效益的基础上逐步提高最低工资标准和离退休人员待遇。健全劳动、资本、土地、知识、技术等生产要素按贡献参与分配的机制，健全再分配调节机制，重视发挥第三次分配作用，发展慈善等社会公益事业，扩大中等收入群体，规范收入分配秩序。加强国有企业高管、领导干部收入管理。清理规范工资外收入，坚决打击和取缔非法收入。</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完善社会福利服务体系。</w:t>
      </w:r>
      <w:r>
        <w:rPr>
          <w:rFonts w:hint="eastAsia" w:ascii="Times New Roman" w:hAnsi="Times New Roman" w:eastAsia="方正仿宋_GBK" w:cs="Times New Roman"/>
          <w:sz w:val="32"/>
          <w:szCs w:val="22"/>
        </w:rPr>
        <w:t>加强社会救助和社会福利体系建设，完善低保、特困和低收入家庭认定办法，健全社会救助对象定期核查机制，规范完善最低生活保障制度。完善留守儿童、妇女、老年人、严重精神障碍患者关爱保障机制，提高低保、五保、孤儿、优抚等对象补贴标准。支持自然人、法人或者其他组织依法举办社会福利机构，支持民办社会福利机构的发展。鼓励符合条件的医疗卫生机构与民办社会福利机构建立合作共建机制。鼓励发展慈善公益事业。动员引导慈善组织加大社会救助方面支出。落实《关于改革完善社会救助制度的意见》，对参与社会救助的慈善组织给予税收优惠、费用减免等。建立政府救助与慈善救助衔接机制。支持引导志愿服务组织、社会爱心人士开展扶贫济困志愿服务。</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完善住房保障体系。</w:t>
      </w:r>
      <w:r>
        <w:rPr>
          <w:rFonts w:hint="eastAsia" w:ascii="Times New Roman" w:hAnsi="Times New Roman" w:eastAsia="方正仿宋_GBK" w:cs="Times New Roman"/>
          <w:sz w:val="32"/>
          <w:szCs w:val="22"/>
        </w:rPr>
        <w:t>坚持“房子是用来住的，不是用来炒的”的定位，围绕城镇居民住房需求，进一步完善以市场为主、多渠道、多层次的住房分类供应体系，促进房地产市场持续、健康和稳定发展。扩大住房公积金制度覆盖面，充分发挥住房公积金对住房保障的积极作用。加快改善困难群众居住条件，着力解决城市中等偏下收入住房困难家庭、新就业大学生、创业人员、青年医生、教师和符合条件的外来务工人员公共租赁房保障需求，保障和改善残疾人住房，力争基本实现“住有所居”目标。面向城镇稳定就业的住房夹心层群体因地制宜开展共有产权住房项目。增加江东新区产业园和古竹产业园区等产业集中区域的集体宿舍、农民工公寓等形式的公共租赁住房供应，面向用工单位或园区就业人员出租。推进人才公寓的建设筹集，通过规划建设、购买商品住房、租赁社会房源、房地产开发项目配建等渠道筹集人才公寓。</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 w:hRule="atLeast"/>
        </w:trPr>
        <w:tc>
          <w:tcPr>
            <w:tcW w:w="5000" w:type="pct"/>
          </w:tcPr>
          <w:p>
            <w:pPr>
              <w:adjustRightInd w:val="0"/>
              <w:snapToGrid w:val="0"/>
              <w:spacing w:line="600" w:lineRule="exact"/>
              <w:jc w:val="center"/>
              <w:rPr>
                <w:rFonts w:ascii="Times New Roman" w:hAnsi="Times New Roman" w:eastAsia="方正仿宋_GBK" w:cs="Times New Roman"/>
                <w:b/>
                <w:bCs/>
                <w:sz w:val="32"/>
                <w:szCs w:val="22"/>
              </w:rPr>
            </w:pPr>
            <w:r>
              <w:rPr>
                <w:rFonts w:hint="eastAsia" w:ascii="Times New Roman" w:hAnsi="Times New Roman" w:eastAsia="方正仿宋_GBK" w:cs="Times New Roman"/>
                <w:b/>
                <w:bCs/>
                <w:sz w:val="28"/>
                <w:szCs w:val="21"/>
              </w:rPr>
              <w:t xml:space="preserve">专栏12 </w:t>
            </w:r>
            <w:r>
              <w:rPr>
                <w:rFonts w:ascii="Times New Roman" w:hAnsi="Times New Roman" w:eastAsia="方正仿宋_GBK" w:cs="Times New Roman"/>
                <w:b/>
                <w:bCs/>
                <w:sz w:val="28"/>
                <w:szCs w:val="21"/>
              </w:rPr>
              <w:t xml:space="preserve"> </w:t>
            </w:r>
            <w:r>
              <w:rPr>
                <w:rFonts w:hint="eastAsia" w:ascii="Times New Roman" w:hAnsi="Times New Roman" w:eastAsia="方正仿宋_GBK" w:cs="Times New Roman"/>
                <w:b/>
                <w:bCs/>
                <w:sz w:val="28"/>
                <w:szCs w:val="21"/>
              </w:rPr>
              <w:t>住房保障重点工程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河源江东新区胜利村安置小区二期建设项目：</w:t>
            </w:r>
            <w:r>
              <w:rPr>
                <w:rFonts w:hint="eastAsia" w:ascii="Times New Roman" w:hAnsi="Times New Roman" w:eastAsia="方正仿宋_GBK" w:cs="Times New Roman"/>
                <w:sz w:val="24"/>
              </w:rPr>
              <w:t>包括住宅及商业建筑，共计</w:t>
            </w:r>
            <w:r>
              <w:rPr>
                <w:rFonts w:ascii="Times New Roman" w:hAnsi="Times New Roman" w:eastAsia="方正仿宋_GBK" w:cs="Times New Roman"/>
                <w:sz w:val="24"/>
              </w:rPr>
              <w:t>558套安置房</w:t>
            </w:r>
            <w:r>
              <w:rPr>
                <w:rFonts w:hint="eastAsia" w:ascii="Times New Roman" w:hAnsi="Times New Roman" w:eastAsia="方正仿宋_GBK" w:cs="Times New Roman"/>
                <w:sz w:val="24"/>
              </w:rPr>
              <w:t>。</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河源江东新区产业园区</w:t>
            </w:r>
            <w:r>
              <w:rPr>
                <w:rFonts w:ascii="Times New Roman" w:hAnsi="Times New Roman" w:eastAsia="方正仿宋_GBK" w:cs="Times New Roman"/>
                <w:b/>
                <w:bCs/>
                <w:sz w:val="24"/>
              </w:rPr>
              <w:t>2.35平方公里棚户区改造</w:t>
            </w:r>
            <w:r>
              <w:rPr>
                <w:rFonts w:hint="eastAsia" w:ascii="Times New Roman" w:hAnsi="Times New Roman" w:eastAsia="方正仿宋_GBK" w:cs="Times New Roman"/>
                <w:b/>
                <w:bCs/>
                <w:sz w:val="24"/>
              </w:rPr>
              <w:t>：</w:t>
            </w:r>
            <w:r>
              <w:rPr>
                <w:rFonts w:hint="eastAsia" w:ascii="Times New Roman" w:hAnsi="Times New Roman" w:eastAsia="方正仿宋_GBK" w:cs="Times New Roman"/>
                <w:sz w:val="24"/>
              </w:rPr>
              <w:t>改造范围内的土地房屋征收及拆迁安置、园区花园小区、园区小学及社区配套的工程建设。</w:t>
            </w:r>
          </w:p>
          <w:p>
            <w:pPr>
              <w:adjustRightInd w:val="0"/>
              <w:snapToGrid w:val="0"/>
              <w:spacing w:line="560" w:lineRule="exact"/>
              <w:ind w:firstLine="482" w:firstLineChars="200"/>
              <w:rPr>
                <w:rFonts w:ascii="Times New Roman" w:hAnsi="Times New Roman" w:eastAsia="方正仿宋_GBK" w:cs="Times New Roman"/>
                <w:sz w:val="24"/>
              </w:rPr>
            </w:pPr>
            <w:r>
              <w:rPr>
                <w:rFonts w:hint="eastAsia" w:ascii="Times New Roman" w:hAnsi="Times New Roman" w:eastAsia="方正仿宋_GBK" w:cs="Times New Roman"/>
                <w:b/>
                <w:bCs/>
                <w:sz w:val="24"/>
              </w:rPr>
              <w:t>临江圩镇控制性规划及三旧改造：</w:t>
            </w:r>
            <w:r>
              <w:rPr>
                <w:rFonts w:hint="eastAsia" w:ascii="Times New Roman" w:hAnsi="Times New Roman" w:eastAsia="方正仿宋_GBK" w:cs="Times New Roman"/>
                <w:sz w:val="24"/>
              </w:rPr>
              <w:t>对临江圩镇进行控制性详细规划，并开展三旧改造工作。</w:t>
            </w:r>
          </w:p>
        </w:tc>
      </w:tr>
    </w:tbl>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健全社会保险体系。</w:t>
      </w:r>
      <w:r>
        <w:rPr>
          <w:rFonts w:hint="eastAsia" w:ascii="Times New Roman" w:hAnsi="Times New Roman" w:eastAsia="方正仿宋_GBK" w:cs="Times New Roman"/>
          <w:sz w:val="32"/>
          <w:szCs w:val="22"/>
        </w:rPr>
        <w:t>建立更加公平更加可持续的社会保障制度，实施全民参保计划，逐步扩大社会保障覆盖范围，逐步提高保障标准，完善社会保险制度，不断提高社会保障管理服务水平，健全覆盖城乡居民的社会保障体系。继续为符合条件的五保户、低保户、重残人员代缴城乡居民养老保险和城乡居民医疗保险，确保贫困人员</w:t>
      </w:r>
      <w:r>
        <w:rPr>
          <w:rFonts w:ascii="Times New Roman" w:hAnsi="Times New Roman" w:eastAsia="方正仿宋_GBK" w:cs="Times New Roman"/>
          <w:sz w:val="32"/>
          <w:szCs w:val="22"/>
        </w:rPr>
        <w:t>100%参加城乡养老保险和城乡居民医疗保险，60周岁以上贫困人员100%领取养老待遇。加快推进</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互联网+社保</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，拓展完善社保卡</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一卡通</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功能。推进社会保障有效对接大湾区，落实港澳居民社会保险或社会保障在</w:t>
      </w:r>
      <w:r>
        <w:rPr>
          <w:rFonts w:hint="eastAsia" w:ascii="Times New Roman" w:hAnsi="Times New Roman" w:eastAsia="方正仿宋_GBK" w:cs="Times New Roman"/>
          <w:sz w:val="32"/>
          <w:szCs w:val="22"/>
        </w:rPr>
        <w:t>新区</w:t>
      </w:r>
      <w:r>
        <w:rPr>
          <w:rFonts w:ascii="Times New Roman" w:hAnsi="Times New Roman" w:eastAsia="方正仿宋_GBK" w:cs="Times New Roman"/>
          <w:sz w:val="32"/>
          <w:szCs w:val="22"/>
        </w:rPr>
        <w:t>使用的有效机制。</w:t>
      </w:r>
      <w:r>
        <w:rPr>
          <w:rFonts w:hint="eastAsia" w:ascii="Times New Roman" w:hAnsi="Times New Roman" w:eastAsia="方正仿宋_GBK" w:cs="Times New Roman"/>
          <w:sz w:val="32"/>
          <w:szCs w:val="22"/>
        </w:rPr>
        <w:t>探索建立创新型长期护理保险制度。</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推动妇女儿童事业全面发展。</w:t>
      </w:r>
      <w:r>
        <w:rPr>
          <w:rFonts w:hint="eastAsia" w:ascii="Times New Roman" w:hAnsi="Times New Roman" w:eastAsia="方正仿宋_GBK" w:cs="Times New Roman"/>
          <w:sz w:val="32"/>
          <w:szCs w:val="22"/>
        </w:rPr>
        <w:t>切实加强妇女儿童的民生保障。完善社会保障体系，提高养老保险、医疗保险、失业保险、工伤保险的妇女儿童参保率。加大妇幼卫生工作力度，全面开展“两癌”免费检查项目，提高妇女健康素质。健全科学有效的妇女儿童利益协调、诉求表达、矛盾调处和权益保障机制，突出抓好对制售假冒伪劣妇幼商品的专项整治，严厉打击拐卖妇女儿童、胁迫儿童乞讨等各种侵害妇女儿童合法权益的违法犯罪行为。提升妇女儿童的综合素质。大力倡导和鼓励妇女学习新知识、掌握新技能、增强新本领，重视女性高技能人才和农村实用人才的培养。高度关注农村留守妇女儿童，解决其生产生活中的实际困难。加强流动妇女儿童的卫生保健、疾病防控、计划免疫等基本公共服务，加大对特殊困难群体的救助力度。将母婴保健工作纳入卫生执法监督体系，大力实施出生缺陷综合防治工程。加强家庭建设，引导做好儿童及老人的抚养赡养工作，促进家庭和谐，维护平等、和睦、文明的家庭关系。</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做好新时代青年工作。</w:t>
      </w:r>
      <w:r>
        <w:rPr>
          <w:rFonts w:hint="eastAsia" w:ascii="Times New Roman" w:hAnsi="Times New Roman" w:eastAsia="方正仿宋_GBK" w:cs="Times New Roman"/>
          <w:sz w:val="32"/>
          <w:szCs w:val="22"/>
        </w:rPr>
        <w:t>围绕立德树人任务，将青年发展融入育人工作，充分发挥校园主阵地作用，将爱国主义和社会主义核心价值观摆在第一位，注重家国情怀培养和传统文化传承。加大经费投入，提高青年受教育程度。提升青年体质健康水平，注重身体健康和心理健康，实施全民健身计划，加快心理辅导室配备，加强对青年的人文关怀和细腻疏导。加强青年婚恋观、家庭观教育和引导，支持开展青年婚恋交友服务。推动完善促进青年就业创业政策体系，加强青年就业服务。丰富青年文化活动，优化青年文化环境，创新文化活动载体，积极引导青年文化实践。</w:t>
      </w:r>
    </w:p>
    <w:p>
      <w:pPr>
        <w:adjustRightInd w:val="0"/>
        <w:snapToGrid w:val="0"/>
        <w:spacing w:before="156" w:beforeLines="50" w:after="156" w:afterLines="50" w:line="560" w:lineRule="exact"/>
        <w:jc w:val="center"/>
        <w:outlineLvl w:val="1"/>
        <w:rPr>
          <w:rFonts w:ascii="Times New Roman" w:hAnsi="Times New Roman" w:eastAsia="方正楷体_GBK" w:cs="Times New Roman"/>
          <w:kern w:val="0"/>
          <w:sz w:val="32"/>
          <w:szCs w:val="32"/>
        </w:rPr>
      </w:pPr>
      <w:bookmarkStart w:id="243" w:name="_Toc67502368"/>
      <w:r>
        <w:rPr>
          <w:rFonts w:hint="eastAsia" w:ascii="Times New Roman" w:hAnsi="Times New Roman" w:eastAsia="方正楷体_GBK" w:cs="Times New Roman"/>
          <w:kern w:val="0"/>
          <w:sz w:val="32"/>
          <w:szCs w:val="32"/>
        </w:rPr>
        <w:t>第五节 建设多层次养老服务体系</w:t>
      </w:r>
      <w:bookmarkEnd w:id="242"/>
      <w:bookmarkEnd w:id="243"/>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保障基本养老服务需求。</w:t>
      </w:r>
      <w:r>
        <w:rPr>
          <w:rFonts w:hint="eastAsia" w:ascii="Times New Roman" w:hAnsi="Times New Roman" w:eastAsia="方正仿宋_GBK" w:cs="Times New Roman"/>
          <w:sz w:val="32"/>
          <w:szCs w:val="22"/>
        </w:rPr>
        <w:t>推进养老服务业综合改革，建立健全以居家为基础、社区为依托、机构为支撑的适度普惠型社会养老服务体系。加快提升农村养老服务质量。实施特困人员供养服务机构（敬老院）改造提升工程。推进老年宜居环境建设，统筹规划建设适合老年人需求的健身体育设施。鼓励开展康复辅助器具配置、租赁服务，加快推进居家和社区适老化改造。推动发展社区嵌入式养老模式，引入养老、家政、物业服务等企业以及社会组织，兴办或运营居家社区养老服务设施。</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扩大多层次养老服务供给。</w:t>
      </w:r>
      <w:r>
        <w:rPr>
          <w:rFonts w:hint="eastAsia" w:ascii="Times New Roman" w:hAnsi="Times New Roman" w:eastAsia="方正仿宋_GBK" w:cs="Times New Roman"/>
          <w:sz w:val="32"/>
          <w:szCs w:val="22"/>
        </w:rPr>
        <w:t>深化养老机构公办民营改革，加强公办养老机构的兜底保障功能。创新养老机构发展运营模式，建立以护养型为重点、助养型为辅助、居养型为补充的养老机构发展模式。支持引导社会力量和民间资本发展普惠性养老服务，探索城企联动普惠性养老服务发展模式。大力发展养老服务产业，分批分阶段制定适合我区的养老产品、养老服务优先发展目录，搭建供需对接平台，培育消费市场及养老产业集群。探索家庭养老服务支持和养老评估补贴制度。</w:t>
      </w:r>
    </w:p>
    <w:p>
      <w:pPr>
        <w:adjustRightInd w:val="0"/>
        <w:snapToGrid w:val="0"/>
        <w:spacing w:line="560" w:lineRule="exact"/>
        <w:ind w:firstLine="643" w:firstLineChars="200"/>
      </w:pPr>
      <w:r>
        <w:rPr>
          <w:rFonts w:hint="eastAsia" w:ascii="Times New Roman" w:hAnsi="Times New Roman" w:eastAsia="方正仿宋_GBK" w:cs="Times New Roman"/>
          <w:b/>
          <w:bCs/>
          <w:sz w:val="32"/>
          <w:szCs w:val="22"/>
        </w:rPr>
        <w:t>创新医养融合发展。</w:t>
      </w:r>
      <w:r>
        <w:rPr>
          <w:rFonts w:hint="eastAsia" w:ascii="Times New Roman" w:hAnsi="Times New Roman" w:eastAsia="方正仿宋_GBK" w:cs="Times New Roman"/>
          <w:sz w:val="32"/>
          <w:szCs w:val="22"/>
        </w:rPr>
        <w:t>积极推进老年病医院、康复医院、护理院或中医院等养老机构建设，优化提升养老机构护理型床位占比。支持社会力量举办老年护理院，鼓励部分二级医院转型为老年护理院。加快建立养老机构与医疗机构预约就诊、双向转诊等合作机制。支持医疗卫生资源进入养老机构，鼓励有条件的养老机构内设医疗机构，加快制定相应的服务标准和资质要求，提升医养结合能力。推进河源江东生态文化医护养生养老基地等一批医养融合项目建设。推广护理服务、家庭病床进社区等活动，推行社区医疗卫生服务机构全科医生签约服务，为老年人提供上门诊视、健康检查和保健咨询等服务。按照“就近就便、互利互惠”原则，将符合条件的医养结合机构中的医疗机构按规定纳入城乡居民基本医疗保险定点范围。探索实施长期护理保险制度。</w:t>
      </w:r>
    </w:p>
    <w:bookmarkEnd w:id="238"/>
    <w:p>
      <w:pPr>
        <w:adjustRightInd w:val="0"/>
        <w:snapToGrid w:val="0"/>
        <w:spacing w:before="156" w:beforeLines="50" w:after="156" w:afterLines="50" w:line="560" w:lineRule="exact"/>
        <w:jc w:val="center"/>
        <w:outlineLvl w:val="1"/>
        <w:rPr>
          <w:rFonts w:ascii="Times New Roman" w:hAnsi="Times New Roman" w:eastAsia="方正楷体_GBK" w:cs="Times New Roman"/>
          <w:kern w:val="0"/>
          <w:sz w:val="32"/>
          <w:szCs w:val="32"/>
        </w:rPr>
      </w:pPr>
      <w:bookmarkStart w:id="244" w:name="_Toc59798236"/>
      <w:bookmarkStart w:id="245" w:name="_Toc61279561"/>
      <w:bookmarkStart w:id="246" w:name="_Toc67502369"/>
      <w:r>
        <w:rPr>
          <w:rFonts w:hint="eastAsia" w:ascii="Times New Roman" w:hAnsi="Times New Roman" w:eastAsia="方正楷体_GBK" w:cs="Times New Roman"/>
          <w:kern w:val="0"/>
          <w:sz w:val="32"/>
          <w:szCs w:val="32"/>
        </w:rPr>
        <w:t>第六节 加强和创新社会治理</w:t>
      </w:r>
      <w:bookmarkEnd w:id="244"/>
      <w:bookmarkEnd w:id="245"/>
      <w:bookmarkEnd w:id="246"/>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推动社会治理现代化。</w:t>
      </w:r>
      <w:r>
        <w:rPr>
          <w:rFonts w:hint="eastAsia" w:ascii="Times New Roman" w:hAnsi="Times New Roman" w:eastAsia="方正仿宋_GBK" w:cs="Times New Roman"/>
          <w:sz w:val="32"/>
          <w:szCs w:val="22"/>
        </w:rPr>
        <w:t>创新社会治理方式。完善群众参与基层社会治理的制度化渠道，健全党组织领导的自治、法治、德治相结合的城乡基层治理体系，打造新时代城乡社区生活共同体。深入推进平安法治文明镇村建设。加快完善综治网格化建设，推动新一代信息技术与社会治理深度融合，探索社会治理现代化新模式。发挥新区智慧城市管理指挥中心枢纽作用，整合基层网格管理和智慧平台，实现“多网合一”。优化社会治理环境，大力推进社会信用体系建设，强化守信联合激励和失信联合惩戒，建立联合奖惩体系。加快建立网络综合治理体系，不断提升网络舆情管控能力。规范信访工作秩序，加强阳光信访、责任信访、法治信访建设。</w:t>
      </w:r>
    </w:p>
    <w:p>
      <w:pPr>
        <w:adjustRightInd w:val="0"/>
        <w:snapToGrid w:val="0"/>
        <w:spacing w:line="56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推动社会治理重心向基层下移。</w:t>
      </w:r>
      <w:r>
        <w:rPr>
          <w:rFonts w:hint="eastAsia" w:ascii="Times New Roman" w:hAnsi="Times New Roman" w:eastAsia="方正仿宋_GBK" w:cs="Times New Roman"/>
          <w:sz w:val="32"/>
          <w:szCs w:val="22"/>
        </w:rPr>
        <w:t>加快推动社会治理重心和资源向基层下移，完善党委领导、政府负责、社会协同、公众参与、法治保障的社会治理体制，营造共建共治共享社会治理格局，构建富有活力和效率的新型基层社会治理体系。充分发挥家教家风、村规民约和传统文化在基层特别是乡村治理中的重要作用，深入开展</w:t>
      </w:r>
      <w:bookmarkStart w:id="247" w:name="_Hlk62150243"/>
      <w:r>
        <w:rPr>
          <w:rFonts w:hint="eastAsia" w:ascii="Times New Roman" w:hAnsi="Times New Roman" w:eastAsia="方正仿宋_GBK" w:cs="Times New Roman"/>
          <w:sz w:val="32"/>
          <w:szCs w:val="22"/>
        </w:rPr>
        <w:t>基层维稳“结亲连心”活动</w:t>
      </w:r>
      <w:bookmarkEnd w:id="247"/>
      <w:r>
        <w:rPr>
          <w:rFonts w:hint="eastAsia" w:ascii="Times New Roman" w:hAnsi="Times New Roman" w:eastAsia="方正仿宋_GBK" w:cs="Times New Roman"/>
          <w:sz w:val="32"/>
          <w:szCs w:val="22"/>
        </w:rPr>
        <w:t>，畅通和规范群众诉求表达、利益协调、权益保障通道，推动构建基层社会治理新格局。推动乡镇（街道）相应转变职能，把工作重心转到社会管理和公共服务上来，推动更多资源、服务、管理向社区下沉、向网格延伸。</w:t>
      </w:r>
    </w:p>
    <w:p>
      <w:pPr>
        <w:keepNext/>
        <w:keepLines/>
        <w:adjustRightInd w:val="0"/>
        <w:snapToGrid w:val="0"/>
        <w:spacing w:before="156" w:beforeLines="50" w:after="156" w:afterLines="50" w:line="580" w:lineRule="exact"/>
        <w:jc w:val="center"/>
        <w:outlineLvl w:val="0"/>
        <w:rPr>
          <w:rFonts w:ascii="Times New Roman" w:hAnsi="Times New Roman" w:eastAsia="方正黑体_GBK" w:cs="Times New Roman"/>
          <w:bCs/>
          <w:kern w:val="44"/>
          <w:sz w:val="32"/>
          <w:szCs w:val="32"/>
          <w:lang w:val="zh-CN"/>
        </w:rPr>
      </w:pPr>
      <w:bookmarkStart w:id="248" w:name="_Toc59798237"/>
      <w:r>
        <w:rPr>
          <w:rFonts w:ascii="Times New Roman" w:hAnsi="Times New Roman" w:eastAsia="方正黑体_GBK" w:cs="Times New Roman"/>
          <w:bCs/>
          <w:kern w:val="44"/>
          <w:sz w:val="32"/>
          <w:szCs w:val="32"/>
          <w:lang w:val="zh-CN"/>
        </w:rPr>
        <w:br w:type="page"/>
      </w:r>
      <w:bookmarkStart w:id="249" w:name="_Toc67502370"/>
      <w:bookmarkStart w:id="250" w:name="_Toc61279562"/>
      <w:r>
        <w:rPr>
          <w:rFonts w:hint="eastAsia" w:ascii="Times New Roman" w:hAnsi="Times New Roman" w:eastAsia="方正黑体_GBK" w:cs="Times New Roman"/>
          <w:bCs/>
          <w:kern w:val="44"/>
          <w:sz w:val="32"/>
          <w:szCs w:val="32"/>
          <w:lang w:val="zh-CN"/>
        </w:rPr>
        <w:t>第十二章 统筹发展和安全，建设高水平平安新区</w:t>
      </w:r>
      <w:bookmarkEnd w:id="248"/>
      <w:bookmarkEnd w:id="249"/>
      <w:bookmarkEnd w:id="250"/>
    </w:p>
    <w:p>
      <w:pPr>
        <w:adjustRightInd w:val="0"/>
        <w:snapToGrid w:val="0"/>
        <w:spacing w:line="580" w:lineRule="exact"/>
        <w:ind w:firstLine="640" w:firstLineChars="200"/>
        <w:rPr>
          <w:rFonts w:ascii="Times New Roman" w:hAnsi="Times New Roman" w:eastAsia="方正仿宋_GBK" w:cs="Times New Roman"/>
          <w:sz w:val="32"/>
          <w:szCs w:val="22"/>
        </w:rPr>
      </w:pPr>
      <w:bookmarkStart w:id="251" w:name="_Toc59798238"/>
      <w:r>
        <w:rPr>
          <w:rFonts w:hint="eastAsia" w:ascii="Times New Roman" w:hAnsi="Times New Roman" w:eastAsia="方正仿宋_GBK" w:cs="Times New Roman"/>
          <w:sz w:val="32"/>
          <w:szCs w:val="22"/>
        </w:rPr>
        <w:t>坚持统筹发展和安全，坚持总体国家安全观，加强国家安全体系和能力建设，增强机遇意识和风险意识，树立底线思维，全力防范化解政治、经济、社会等各领域风险，全面筑牢新区安全防线。</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252" w:name="_Toc61279563"/>
      <w:bookmarkStart w:id="253" w:name="_Toc67502371"/>
      <w:r>
        <w:rPr>
          <w:rFonts w:hint="eastAsia" w:ascii="Times New Roman" w:hAnsi="Times New Roman" w:eastAsia="方正楷体_GBK" w:cs="Times New Roman"/>
          <w:kern w:val="0"/>
          <w:sz w:val="32"/>
          <w:szCs w:val="32"/>
        </w:rPr>
        <w:t>第一节 加强国家安全体系和能力建设</w:t>
      </w:r>
      <w:bookmarkEnd w:id="251"/>
      <w:bookmarkEnd w:id="252"/>
      <w:bookmarkEnd w:id="253"/>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提升安全生产水平。</w:t>
      </w:r>
      <w:r>
        <w:rPr>
          <w:rFonts w:hint="eastAsia" w:ascii="Times New Roman" w:hAnsi="Times New Roman" w:eastAsia="方正仿宋_GBK" w:cs="Times New Roman"/>
          <w:sz w:val="32"/>
          <w:szCs w:val="22"/>
        </w:rPr>
        <w:t>健全公共安全体系，落实安全生产责任，加强食品药品安全、安全生产、消防安全、公共安全、公共卫生等领域安全监管，坚决遏制重特大事故发生。严格落实安全生产责任制和食品药品安全责任制，加强重点领域安全监管，加强消防安全建设，加强对学校、住房、商铺密集的居民区及火灾多发地区进行专项排查。加大重大节假日期间安全稳定和重点项目的施工安全隐患的排查整改工作力度，加强建筑工地安全防范工作检查，持续做好危险化学品企业和烟花爆竹点的监管工作，加强道路运输安全风险管控和隐患治理工作，深入开展安全生产专项整治三年行动，确保安全生产维稳工作可持续健康发展。</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加强网络安全。</w:t>
      </w:r>
      <w:r>
        <w:rPr>
          <w:rFonts w:hint="eastAsia" w:ascii="Times New Roman" w:hAnsi="Times New Roman" w:eastAsia="方正仿宋_GBK" w:cs="Times New Roman"/>
          <w:sz w:val="32"/>
          <w:szCs w:val="22"/>
        </w:rPr>
        <w:t>结合新区大数据产业和新一代信息产业的发展，不断健全新区的网络社会综合防控体系，努力营造清朗网络空间。加强网络市场监管，开展打击网络违法犯罪活动专项行动，依法打击整治网络贩枪、网络黄赌毒、网络传销、网络套路贷等新型网络犯罪，有力铲除网络安全领域黑色产业链，共同维护网络空间健康清明。加强网络信息数据安全维护，加强信息化基础设施建设，持续加大对网络信息监控能力的投入。严格落实安全责任和防护措施，强化网络交易平台责任，加强对农村电商、跨境电商和服务电商等新业态的监管。加大对涉及国家秘密、商业秘密、个人隐私等重要数据的保护力度，支持企事业单位对关键设备和重要系统开展安全性评估，加强企事业单位安全体系建设，依法严厉打击相关违法犯罪活动。</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增强国防动员能力建设。</w:t>
      </w:r>
      <w:r>
        <w:rPr>
          <w:rFonts w:hint="eastAsia" w:ascii="Times New Roman" w:hAnsi="Times New Roman" w:eastAsia="方正仿宋_GBK" w:cs="Times New Roman"/>
          <w:sz w:val="32"/>
          <w:szCs w:val="22"/>
        </w:rPr>
        <w:t>完善国防动员体制机制，推动军民一体化建设。加强国防动员能力建设，不断拓展深化军事斗争动员准备，强化基层武装部建设，积极开展国防动员潜力统计调查，构建智能安全的国防动员信息网络。广泛开展以弘扬爱国主义为核心的国防教育，以国防教育课、国防专题研究等形式，推动形成全民爱国拥军的良好社会风尚。加强国防教育基地建设，推动古竹镇陈家祠等红色文化创建省、市国防教育基地。深化双拥共建，做好拥军优属工作，推动军民深度融合发展。</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深入开展国家安全教育。</w:t>
      </w:r>
      <w:r>
        <w:rPr>
          <w:rFonts w:hint="eastAsia" w:ascii="Times New Roman" w:hAnsi="Times New Roman" w:eastAsia="方正仿宋_GBK" w:cs="Times New Roman"/>
          <w:sz w:val="32"/>
          <w:szCs w:val="22"/>
        </w:rPr>
        <w:t>开展“全民国家安全教育日”</w:t>
      </w:r>
      <w:r>
        <w:rPr>
          <w:rFonts w:ascii="Times New Roman" w:hAnsi="Times New Roman" w:eastAsia="方正仿宋_GBK" w:cs="Times New Roman"/>
          <w:sz w:val="32"/>
          <w:szCs w:val="22"/>
        </w:rPr>
        <w:t>宣传活动</w:t>
      </w:r>
      <w:r>
        <w:rPr>
          <w:rFonts w:hint="eastAsia" w:ascii="Times New Roman" w:hAnsi="Times New Roman" w:eastAsia="方正仿宋_GBK" w:cs="Times New Roman"/>
          <w:sz w:val="32"/>
          <w:szCs w:val="22"/>
        </w:rPr>
        <w:t>，引导各镇、村居通过设立街头宣传点、发放宣传画报、投放公益广告等方式，宣传国家安全相关内容，推动国家安全知识进机关、进社区、进校园，不断提高新区居民的国家安全意识。开展国家安全教育知识竞赛、国家安全法律法规知识测试。加强新区中小学校开展国家安全教育工作。</w:t>
      </w:r>
    </w:p>
    <w:p>
      <w:pPr>
        <w:adjustRightInd w:val="0"/>
        <w:snapToGrid w:val="0"/>
        <w:spacing w:before="156" w:beforeLines="50" w:after="156" w:afterLines="50" w:line="600" w:lineRule="exact"/>
        <w:jc w:val="center"/>
        <w:outlineLvl w:val="1"/>
        <w:rPr>
          <w:rFonts w:ascii="Times New Roman" w:hAnsi="Times New Roman" w:eastAsia="方正楷体_GBK" w:cs="Times New Roman"/>
          <w:kern w:val="0"/>
          <w:sz w:val="32"/>
          <w:szCs w:val="32"/>
        </w:rPr>
      </w:pPr>
      <w:bookmarkStart w:id="254" w:name="_Toc61279564"/>
      <w:bookmarkStart w:id="255" w:name="_Toc67502372"/>
      <w:bookmarkStart w:id="256" w:name="_Toc59798239"/>
      <w:r>
        <w:rPr>
          <w:rFonts w:hint="eastAsia" w:ascii="Times New Roman" w:hAnsi="Times New Roman" w:eastAsia="方正楷体_GBK" w:cs="Times New Roman"/>
          <w:kern w:val="0"/>
          <w:sz w:val="32"/>
          <w:szCs w:val="32"/>
        </w:rPr>
        <w:t>第二节 保障经济安全</w:t>
      </w:r>
      <w:bookmarkEnd w:id="254"/>
      <w:bookmarkEnd w:id="255"/>
      <w:bookmarkEnd w:id="256"/>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保障粮食安全。</w:t>
      </w:r>
      <w:r>
        <w:rPr>
          <w:rFonts w:hint="eastAsia" w:ascii="Times New Roman" w:hAnsi="Times New Roman" w:eastAsia="方正仿宋_GBK" w:cs="Times New Roman"/>
          <w:sz w:val="32"/>
          <w:szCs w:val="22"/>
        </w:rPr>
        <w:t>落实最严格的耕地保护制度，坚决遏制土地违法行为，牢牢守住耕地保护红线。稳步提升粮食生产能力，加快粮食生产</w:t>
      </w:r>
      <w:r>
        <w:rPr>
          <w:rFonts w:ascii="Times New Roman" w:hAnsi="Times New Roman" w:eastAsia="方正仿宋_GBK" w:cs="Times New Roman"/>
          <w:sz w:val="32"/>
          <w:szCs w:val="22"/>
        </w:rPr>
        <w:t>功能区建设</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改善粮食生产条件</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深入开展粮食高产创建，提高适</w:t>
      </w:r>
      <w:r>
        <w:rPr>
          <w:rFonts w:hint="eastAsia" w:ascii="Times New Roman" w:hAnsi="Times New Roman" w:eastAsia="方正仿宋_GBK" w:cs="Times New Roman"/>
          <w:sz w:val="32"/>
          <w:szCs w:val="22"/>
        </w:rPr>
        <w:t>用技术到位率，</w:t>
      </w:r>
      <w:r>
        <w:rPr>
          <w:rFonts w:ascii="Times New Roman" w:hAnsi="Times New Roman" w:eastAsia="方正仿宋_GBK" w:cs="Times New Roman"/>
          <w:sz w:val="32"/>
          <w:szCs w:val="22"/>
        </w:rPr>
        <w:t>优化优质稻品种品质</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提高粮食综合生产能力和经济效益。</w:t>
      </w:r>
      <w:r>
        <w:rPr>
          <w:rFonts w:hint="eastAsia" w:ascii="Times New Roman" w:hAnsi="Times New Roman" w:eastAsia="方正仿宋_GBK" w:cs="Times New Roman"/>
          <w:sz w:val="32"/>
          <w:szCs w:val="22"/>
        </w:rPr>
        <w:t>加快培育多元化农业经营主体，完善生产经营模式，加大农业补贴力度，充分调动农民的粮食种植积极性。</w:t>
      </w:r>
      <w:r>
        <w:rPr>
          <w:rFonts w:ascii="Times New Roman" w:hAnsi="Times New Roman" w:eastAsia="方正仿宋_GBK" w:cs="Times New Roman"/>
          <w:sz w:val="32"/>
          <w:szCs w:val="22"/>
        </w:rPr>
        <w:t>不断</w:t>
      </w:r>
      <w:r>
        <w:rPr>
          <w:rFonts w:hint="eastAsia" w:ascii="Times New Roman" w:hAnsi="Times New Roman" w:eastAsia="方正仿宋_GBK" w:cs="Times New Roman"/>
          <w:sz w:val="32"/>
          <w:szCs w:val="22"/>
        </w:rPr>
        <w:t>创新体制机</w:t>
      </w:r>
      <w:r>
        <w:rPr>
          <w:rFonts w:ascii="Times New Roman" w:hAnsi="Times New Roman" w:eastAsia="方正仿宋_GBK" w:cs="Times New Roman"/>
          <w:sz w:val="32"/>
          <w:szCs w:val="22"/>
        </w:rPr>
        <w:t>制</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加快推进土地流转</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促进粮食适度规模经营和机械化发展。</w:t>
      </w:r>
      <w:r>
        <w:rPr>
          <w:rFonts w:hint="eastAsia" w:ascii="Times New Roman" w:hAnsi="Times New Roman" w:eastAsia="方正仿宋_GBK" w:cs="Times New Roman"/>
          <w:sz w:val="32"/>
          <w:szCs w:val="22"/>
        </w:rPr>
        <w:t>完善粮食流通体制</w:t>
      </w:r>
      <w:r>
        <w:rPr>
          <w:rFonts w:ascii="Times New Roman" w:hAnsi="Times New Roman" w:eastAsia="方正仿宋_GBK" w:cs="Times New Roman"/>
          <w:sz w:val="32"/>
          <w:szCs w:val="22"/>
        </w:rPr>
        <w:t>，建立产销区稳定的</w:t>
      </w:r>
      <w:r>
        <w:rPr>
          <w:rFonts w:hint="eastAsia" w:ascii="Times New Roman" w:hAnsi="Times New Roman" w:eastAsia="方正仿宋_GBK" w:cs="Times New Roman"/>
          <w:sz w:val="32"/>
          <w:szCs w:val="22"/>
        </w:rPr>
        <w:t>购销关系，</w:t>
      </w:r>
      <w:r>
        <w:rPr>
          <w:rFonts w:ascii="Times New Roman" w:hAnsi="Times New Roman" w:eastAsia="方正仿宋_GBK" w:cs="Times New Roman"/>
          <w:sz w:val="32"/>
          <w:szCs w:val="22"/>
        </w:rPr>
        <w:t>加强对粮食市场的宏观调控。</w:t>
      </w:r>
      <w:r>
        <w:rPr>
          <w:rFonts w:hint="eastAsia" w:ascii="Times New Roman" w:hAnsi="Times New Roman" w:eastAsia="方正仿宋_GBK" w:cs="Times New Roman"/>
          <w:sz w:val="32"/>
          <w:szCs w:val="22"/>
        </w:rPr>
        <w:t>加快引导发展粮食向精深加工转化，大力发展粮食产业经济。积极推广应用农业科技，积极引进灯塔盆地的高产优质农作物，加快推动粮食优质高产。</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保障能源安全。</w:t>
      </w:r>
      <w:r>
        <w:rPr>
          <w:rFonts w:hint="eastAsia" w:ascii="Times New Roman" w:hAnsi="Times New Roman" w:eastAsia="方正仿宋_GBK" w:cs="Times New Roman"/>
          <w:sz w:val="32"/>
          <w:szCs w:val="22"/>
        </w:rPr>
        <w:t>落实国家“</w:t>
      </w:r>
      <w:bookmarkStart w:id="257" w:name="_Hlk62150318"/>
      <w:r>
        <w:rPr>
          <w:rFonts w:hint="eastAsia" w:ascii="Times New Roman" w:hAnsi="Times New Roman" w:eastAsia="方正仿宋_GBK" w:cs="Times New Roman"/>
          <w:sz w:val="32"/>
          <w:szCs w:val="22"/>
        </w:rPr>
        <w:t>四个革命、一个合作</w:t>
      </w:r>
      <w:bookmarkEnd w:id="257"/>
      <w:r>
        <w:rPr>
          <w:rFonts w:hint="eastAsia" w:ascii="Times New Roman" w:hAnsi="Times New Roman" w:eastAsia="方正仿宋_GBK" w:cs="Times New Roman"/>
          <w:sz w:val="32"/>
          <w:szCs w:val="22"/>
        </w:rPr>
        <w:t>”的能源安全新战略，构建“安全、经济、绿色”的能源供应体系，切实提高新区能源发展和保障水平。积极调整新区的能源发展结构，多元化配置能源品种，多渠道引入能源资源，加快电力通道、城市电网、农村电网以及支撑电源的建设和改造，稳步推进天然气、成品油和电力产供储销体系建设，大力开展节能降耗工作，调整新区的能源供应和消费结构。合理布局能源储备设施，加强天然气储气调峰设施、成品油储运设施的建设，健全能源储备体系。制定完善能源应急预案，提高能源安全保障能力和调节能力。</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防范化解经济领域风险。</w:t>
      </w:r>
      <w:r>
        <w:rPr>
          <w:rFonts w:hint="eastAsia" w:ascii="Times New Roman" w:hAnsi="Times New Roman" w:eastAsia="方正仿宋_GBK" w:cs="Times New Roman"/>
          <w:sz w:val="32"/>
          <w:szCs w:val="22"/>
        </w:rPr>
        <w:t>防范化解经济金融风险，加强经济运行监测分析，加强债务管理、严控新增债务，完善政法机关与金融机构、行业监管部门协同配合机制，牢牢守住不发生系统性金融风险底线，严防经济金融风险向社会领域传导。加强金融领域监控，加大惩治洗钱犯罪力度，有效维护国家金融安全。大力推动制造业等实体经济高质量发展，防止经济脱实向虚和产业链供应链断裂。加强银行不良资产处置力度。加强审计监督，对拖欠重点企业开展清理工作，组织开展医疗机构拖欠民营及中小企业货款、大型国企拖欠民营及中小企业账款等专项整治，促进民营及中小企业良性发展。有效推进“</w:t>
      </w:r>
      <w:bookmarkStart w:id="258" w:name="_Hlk62150329"/>
      <w:r>
        <w:rPr>
          <w:rFonts w:hint="eastAsia" w:ascii="Times New Roman" w:hAnsi="Times New Roman" w:eastAsia="方正仿宋_GBK" w:cs="Times New Roman"/>
          <w:sz w:val="32"/>
          <w:szCs w:val="22"/>
        </w:rPr>
        <w:t>僵尸企业</w:t>
      </w:r>
      <w:bookmarkEnd w:id="258"/>
      <w:r>
        <w:rPr>
          <w:rFonts w:hint="eastAsia" w:ascii="Times New Roman" w:hAnsi="Times New Roman" w:eastAsia="方正仿宋_GBK" w:cs="Times New Roman"/>
          <w:sz w:val="32"/>
          <w:szCs w:val="22"/>
        </w:rPr>
        <w:t>”淘汰处置工作。</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259" w:name="_Toc61279565"/>
      <w:bookmarkStart w:id="260" w:name="_Toc59798240"/>
      <w:bookmarkStart w:id="261" w:name="_Toc67502373"/>
      <w:r>
        <w:rPr>
          <w:rFonts w:hint="eastAsia" w:ascii="Times New Roman" w:hAnsi="Times New Roman" w:eastAsia="方正楷体_GBK" w:cs="Times New Roman"/>
          <w:kern w:val="0"/>
          <w:sz w:val="32"/>
          <w:szCs w:val="32"/>
        </w:rPr>
        <w:t>第三节 维护社会稳定和安全</w:t>
      </w:r>
      <w:bookmarkEnd w:id="259"/>
      <w:bookmarkEnd w:id="260"/>
      <w:bookmarkEnd w:id="261"/>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全力推进法治新区建设。</w:t>
      </w:r>
      <w:r>
        <w:rPr>
          <w:rFonts w:hint="eastAsia" w:ascii="Times New Roman" w:hAnsi="Times New Roman" w:eastAsia="方正仿宋_GBK" w:cs="Times New Roman"/>
          <w:sz w:val="32"/>
          <w:szCs w:val="22"/>
        </w:rPr>
        <w:t>进一步普及《民法典》知识，弘扬《民法典》精神，营造全民尊法学法守法用法的浓厚氛围。健全司法权力运行机制，提升司法质量、效率和公信力，维护社会公平正义。加快推进法治政府建设，坚持运用法治思维和法治方式常态化开展工作。稳步推进依法行政工作，加强干部队伍依法行政能力建设，规范依法行政行为。坚持依法化解社会矛盾，深入开展法治区、法治镇街、民主法治示范村“三级同创”和“法安河源·德润民心”活动。全面落实“谁执法谁普法”责任制，加强新区公共法律服务资源合理配置，构建新区公共法律服务体系。健全完善镇（街道）、社区（村）公共法律服务实体平台，全面推行网上公共法律服务，实现网络平台、实体平台无缝对接。探索制定新区公共法律服务手册和公共法律服务质量标准。健全法律援助机制。加快培育法律服务公益性社会组织，健全公共法律服务体系。</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筑牢社会和谐稳定新防线。</w:t>
      </w:r>
      <w:r>
        <w:rPr>
          <w:rFonts w:hint="eastAsia" w:ascii="Times New Roman" w:hAnsi="Times New Roman" w:eastAsia="方正仿宋_GBK" w:cs="Times New Roman"/>
          <w:sz w:val="32"/>
          <w:szCs w:val="22"/>
        </w:rPr>
        <w:t>切实维护国家政治安全，严密防范、严厉打击敌对势力颠覆渗透破坏活动。深入开展扫黑除恶专项斗争，加强政法队伍建设，切实解决基层涉黑涉恶涉腐问题，铲除黑恶势力滋生土壤。积极运用大数据、云计算、区块链、人工智能等前沿技术，打造智能化平安建设新模式。深入做好矛盾排查工作，加强预防和化解社会矛盾机制建设，加快推进江东新区矛盾化解维稳一体化市级试点，加强新区矛盾化解维稳一体化平台建设，建设江东新区信访维稳系统，落实重大决策社会稳定风险评估机制。深入开展基层平安创建活动，积极推进平安镇村、平安校园系列平安创建活动建设。健全社会心理服务体系和危机干预机制。进一步完善现代财税体制，培育符合新区经济发展的地方税种，配合做好消费税征收环节后移工作，规范政府举债融资机制，推进地方政府债券市场建设。</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完善社会治安防控体系。</w:t>
      </w:r>
      <w:r>
        <w:rPr>
          <w:rFonts w:hint="eastAsia" w:ascii="Times New Roman" w:hAnsi="Times New Roman" w:eastAsia="方正仿宋_GBK" w:cs="Times New Roman"/>
          <w:sz w:val="32"/>
          <w:szCs w:val="22"/>
        </w:rPr>
        <w:t>深入开展扫黑除恶专项斗争、全民禁毒工程和</w:t>
      </w:r>
      <w:bookmarkStart w:id="262" w:name="_Hlk62150399"/>
      <w:r>
        <w:rPr>
          <w:rFonts w:hint="eastAsia" w:ascii="Times New Roman" w:hAnsi="Times New Roman" w:eastAsia="方正仿宋_GBK" w:cs="Times New Roman"/>
          <w:sz w:val="32"/>
          <w:szCs w:val="22"/>
        </w:rPr>
        <w:t>飓风行动</w:t>
      </w:r>
      <w:bookmarkEnd w:id="262"/>
      <w:r>
        <w:rPr>
          <w:rFonts w:hint="eastAsia" w:ascii="Times New Roman" w:hAnsi="Times New Roman" w:eastAsia="方正仿宋_GBK" w:cs="Times New Roman"/>
          <w:sz w:val="32"/>
          <w:szCs w:val="22"/>
        </w:rPr>
        <w:t>等重点工作，依法严厉打击各类违法犯罪，持续深入开展社会治安重点地区和突出问题排查整治，建立完善常态化扫黑除恶机制。学习创新“枫桥经验”，深化“综治中心</w:t>
      </w:r>
      <w:r>
        <w:rPr>
          <w:rFonts w:ascii="Times New Roman" w:hAnsi="Times New Roman" w:eastAsia="方正仿宋_GBK" w:cs="Times New Roman"/>
          <w:sz w:val="32"/>
          <w:szCs w:val="22"/>
        </w:rPr>
        <w:t>+网格化+信息化</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建设，大力推进</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雪亮工程</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智慧新警务</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建设，着力构建立体化、信息化、智能化社会治安防控体系。</w:t>
      </w:r>
      <w:r>
        <w:rPr>
          <w:rFonts w:hint="eastAsia" w:ascii="Times New Roman" w:hAnsi="Times New Roman" w:eastAsia="方正仿宋_GBK" w:cs="Times New Roman"/>
          <w:sz w:val="32"/>
          <w:szCs w:val="22"/>
        </w:rPr>
        <w:t>切实加强群防群治，积极推动“一村（社区）一辅警</w:t>
      </w:r>
      <w:bookmarkStart w:id="263" w:name="_Hlk62150366"/>
      <w:r>
        <w:rPr>
          <w:rFonts w:hint="eastAsia" w:ascii="Times New Roman" w:hAnsi="Times New Roman" w:eastAsia="方正仿宋_GBK" w:cs="Times New Roman"/>
          <w:sz w:val="32"/>
          <w:szCs w:val="22"/>
        </w:rPr>
        <w:t>”“五星”平安村（社区）</w:t>
      </w:r>
      <w:bookmarkEnd w:id="263"/>
      <w:r>
        <w:rPr>
          <w:rFonts w:hint="eastAsia" w:ascii="Times New Roman" w:hAnsi="Times New Roman" w:eastAsia="方正仿宋_GBK" w:cs="Times New Roman"/>
          <w:sz w:val="32"/>
          <w:szCs w:val="22"/>
        </w:rPr>
        <w:t>建设，夯实基层平安基础。加强公共安全保障能力建设，加快推进河源市公安局江东分局高铁新城派出所、河源市公安局江东分局临江派出所、河源市公安局江东分局水上派出所等项目建设，加快江东新区公用综合大厦项目建设。</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264" w:name="_Toc67502374"/>
      <w:bookmarkStart w:id="265" w:name="_Toc61279566"/>
      <w:bookmarkStart w:id="266" w:name="_Toc59798241"/>
      <w:r>
        <w:rPr>
          <w:rFonts w:hint="eastAsia" w:ascii="Times New Roman" w:hAnsi="Times New Roman" w:eastAsia="方正楷体_GBK" w:cs="Times New Roman"/>
          <w:kern w:val="0"/>
          <w:sz w:val="32"/>
          <w:szCs w:val="32"/>
        </w:rPr>
        <w:t>第四节 提高应急管理能力</w:t>
      </w:r>
      <w:bookmarkEnd w:id="264"/>
      <w:bookmarkEnd w:id="265"/>
      <w:bookmarkEnd w:id="266"/>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增强防灾减灾能力。</w:t>
      </w:r>
      <w:r>
        <w:rPr>
          <w:rFonts w:hint="eastAsia" w:ascii="Times New Roman" w:hAnsi="Times New Roman" w:eastAsia="方正仿宋_GBK" w:cs="Times New Roman"/>
          <w:sz w:val="32"/>
          <w:szCs w:val="22"/>
        </w:rPr>
        <w:t>建立健全应急管理体系，健全公共安全体制机制，完善隐患排查和安全预防控制体系。加快补齐新冠肺炎疫情和洪涝灾害暴露出来的公共设施和应急救援体系等领域短板，加快推动江东新区应急救灾物资储备库建设，完善应急管理标准化建设。加强应急值守、应急演练，提高保障公共安全和应对突发事件能力。加强应急综合救援队伍建设，规划配齐江东新区应急救援队伍培训、训练场地，提升灾害事故防范救援能力水平。</w:t>
      </w:r>
    </w:p>
    <w:p>
      <w:pPr>
        <w:adjustRightInd w:val="0"/>
        <w:snapToGrid w:val="0"/>
        <w:spacing w:line="58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完善风险管理体系建设。</w:t>
      </w:r>
      <w:r>
        <w:rPr>
          <w:rFonts w:hint="eastAsia" w:ascii="Times New Roman" w:hAnsi="Times New Roman" w:eastAsia="方正仿宋_GBK" w:cs="Times New Roman"/>
          <w:sz w:val="32"/>
          <w:szCs w:val="22"/>
        </w:rPr>
        <w:t>建立新型风险管理体系，将防范化解风险作为系统性工程进行战略谋划，从事前、事中、事后的整体视角进行系统规划。加强风险监控预警，加快建立覆盖全面、决策有效的风险监控预警指标体系。建立责权利和风险相互匹配的机制，推动风险管理业务化，设立专员负责制定并实施具体的风险管理措施。强化风险观念的塑造，加快建立高效的风险管理信息系统，加大风险管理能力建设投入。</w:t>
      </w:r>
    </w:p>
    <w:p>
      <w:pPr>
        <w:adjustRightInd w:val="0"/>
        <w:snapToGrid w:val="0"/>
        <w:spacing w:line="600" w:lineRule="exact"/>
        <w:ind w:firstLine="643" w:firstLineChars="200"/>
        <w:rPr>
          <w:rFonts w:ascii="Times New Roman" w:hAnsi="Times New Roman" w:eastAsia="方正仿宋_GBK" w:cs="Times New Roman"/>
          <w:sz w:val="32"/>
          <w:szCs w:val="22"/>
        </w:rPr>
      </w:pPr>
      <w:r>
        <w:rPr>
          <w:rFonts w:hint="eastAsia" w:ascii="Times New Roman" w:hAnsi="Times New Roman" w:eastAsia="方正仿宋_GBK" w:cs="Times New Roman"/>
          <w:b/>
          <w:bCs/>
          <w:sz w:val="32"/>
          <w:szCs w:val="22"/>
        </w:rPr>
        <w:t>完善应急管理全民参与格局。</w:t>
      </w:r>
      <w:r>
        <w:rPr>
          <w:rFonts w:hint="eastAsia" w:ascii="Times New Roman" w:hAnsi="Times New Roman" w:eastAsia="方正仿宋_GBK" w:cs="Times New Roman"/>
          <w:sz w:val="32"/>
          <w:szCs w:val="22"/>
        </w:rPr>
        <w:t>加快普及应急管理法律法规，提升新区居民应急法制意识。充分利用全国应急管理普法知识竞赛等活动，组织开展应急普法宣传，将应急普法宣传与日常执法检查工作相结合，深入新区各乡镇（街道）开展应急能力建设检查指导工作。深化网格化管理体系，充分发动干部群众参与社会治理和平安建设，加强灾害信息员和安全网格员的业务培训，有效提高网格员识别灾害风险隐患的能力。加快建立由新区政府领导、多部门合作、有关方面共同参与的安全宣传“</w:t>
      </w:r>
      <w:bookmarkStart w:id="267" w:name="_Hlk62150439"/>
      <w:r>
        <w:rPr>
          <w:rFonts w:hint="eastAsia" w:ascii="Times New Roman" w:hAnsi="Times New Roman" w:eastAsia="方正仿宋_GBK" w:cs="Times New Roman"/>
          <w:sz w:val="32"/>
          <w:szCs w:val="22"/>
        </w:rPr>
        <w:t>五进</w:t>
      </w:r>
      <w:bookmarkEnd w:id="267"/>
      <w:r>
        <w:rPr>
          <w:rFonts w:hint="eastAsia" w:ascii="Times New Roman" w:hAnsi="Times New Roman" w:eastAsia="方正仿宋_GBK" w:cs="Times New Roman"/>
          <w:sz w:val="32"/>
          <w:szCs w:val="22"/>
        </w:rPr>
        <w:t>”协作机制，积极营造全社会关注、全民参与的浓厚氛围，切实提高社会参与能力。</w:t>
      </w:r>
    </w:p>
    <w:p>
      <w:pPr>
        <w:keepNext/>
        <w:keepLines/>
        <w:adjustRightInd w:val="0"/>
        <w:snapToGrid w:val="0"/>
        <w:spacing w:before="156" w:beforeLines="50" w:after="156" w:afterLines="50" w:line="580" w:lineRule="exact"/>
        <w:jc w:val="center"/>
        <w:outlineLvl w:val="0"/>
        <w:rPr>
          <w:rFonts w:ascii="Times New Roman" w:hAnsi="Times New Roman" w:eastAsia="方正黑体_GBK" w:cs="Times New Roman"/>
          <w:bCs/>
          <w:kern w:val="44"/>
          <w:sz w:val="32"/>
          <w:szCs w:val="32"/>
          <w:lang w:val="zh-CN"/>
        </w:rPr>
      </w:pPr>
      <w:bookmarkStart w:id="268" w:name="_Toc59798242"/>
      <w:r>
        <w:rPr>
          <w:rFonts w:ascii="Times New Roman" w:hAnsi="Times New Roman" w:eastAsia="方正黑体_GBK" w:cs="Times New Roman"/>
          <w:bCs/>
          <w:kern w:val="44"/>
          <w:sz w:val="32"/>
          <w:szCs w:val="32"/>
          <w:lang w:val="zh-CN"/>
        </w:rPr>
        <w:br w:type="page"/>
      </w:r>
      <w:bookmarkStart w:id="269" w:name="_Toc67502375"/>
      <w:bookmarkStart w:id="270" w:name="_Toc61279567"/>
      <w:r>
        <w:rPr>
          <w:rFonts w:hint="eastAsia" w:ascii="Times New Roman" w:hAnsi="Times New Roman" w:eastAsia="方正黑体_GBK" w:cs="Times New Roman"/>
          <w:bCs/>
          <w:kern w:val="44"/>
          <w:sz w:val="32"/>
          <w:szCs w:val="32"/>
          <w:lang w:val="zh-CN"/>
        </w:rPr>
        <w:t>第十三章 健全规划实施机制，保障实现发展蓝图</w:t>
      </w:r>
      <w:bookmarkEnd w:id="268"/>
      <w:bookmarkEnd w:id="269"/>
      <w:bookmarkEnd w:id="270"/>
    </w:p>
    <w:p>
      <w:pPr>
        <w:adjustRightInd w:val="0"/>
        <w:snapToGrid w:val="0"/>
        <w:spacing w:line="580" w:lineRule="exact"/>
        <w:ind w:firstLine="640" w:firstLineChars="200"/>
        <w:rPr>
          <w:rFonts w:ascii="Times New Roman" w:hAnsi="Times New Roman" w:eastAsia="方正仿宋_GBK" w:cs="Times New Roman"/>
          <w:sz w:val="32"/>
          <w:szCs w:val="22"/>
        </w:rPr>
      </w:pPr>
      <w:bookmarkStart w:id="271" w:name="_Toc59798243"/>
      <w:r>
        <w:rPr>
          <w:rFonts w:hint="eastAsia" w:ascii="Times New Roman" w:hAnsi="Times New Roman" w:eastAsia="方正仿宋_GBK" w:cs="Times New Roman"/>
          <w:sz w:val="32"/>
          <w:szCs w:val="22"/>
        </w:rPr>
        <w:t>强化规划对经济社会发展的引领作用，充分发挥市场配置资源的基础性作用，引导区域资源配置效益最大化和效率最优化，有效统筹未来五年新区甚至更长一段时期各项工作的开展，进一步完善监测评估，强化分类实施，提升规划实施效能。</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272" w:name="_Toc67502376"/>
      <w:bookmarkStart w:id="273" w:name="_Toc61279568"/>
      <w:r>
        <w:rPr>
          <w:rFonts w:hint="eastAsia" w:ascii="Times New Roman" w:hAnsi="Times New Roman" w:eastAsia="方正楷体_GBK" w:cs="Times New Roman"/>
          <w:kern w:val="0"/>
          <w:sz w:val="32"/>
          <w:szCs w:val="32"/>
        </w:rPr>
        <w:t>第一节 加强党政建设</w:t>
      </w:r>
      <w:bookmarkEnd w:id="272"/>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坚持以政治建设为统领，坚定政治信仰，把准政治方向，涵养政治生态，防范政治风险，强化政治领导，提高政治能力，强化政治监督。坚持思想建党、理论强党，坚持“学思用贯通、知信行统一”，推动广大党员干部全面系统学、深入思考学、联系实际学，不断推进党的理论创新。贯彻好党的群众路线，切实解决好人民群众最关心最直接最现实的利益问题。发扬党的优良作风，锲而不舍地落实中央八项规定，以良好党风带动政风民风。坚持全面从严管党治党，以更大气力推进党风廉政建设和反腐败斗争，不断增强党自我净化、自我完善、自我革新、自我提高的能力，建立健全贯彻党中央重大决策部署的督查问责机制。</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274" w:name="_Toc67502377"/>
      <w:r>
        <w:rPr>
          <w:rFonts w:hint="eastAsia" w:ascii="Times New Roman" w:hAnsi="Times New Roman" w:eastAsia="方正楷体_GBK" w:cs="Times New Roman"/>
          <w:kern w:val="0"/>
          <w:sz w:val="32"/>
          <w:szCs w:val="32"/>
        </w:rPr>
        <w:t>第二节 加强</w:t>
      </w:r>
      <w:bookmarkEnd w:id="271"/>
      <w:bookmarkEnd w:id="273"/>
      <w:r>
        <w:rPr>
          <w:rFonts w:hint="eastAsia" w:ascii="Times New Roman" w:hAnsi="Times New Roman" w:eastAsia="方正楷体_GBK" w:cs="Times New Roman"/>
          <w:kern w:val="0"/>
          <w:sz w:val="32"/>
          <w:szCs w:val="32"/>
        </w:rPr>
        <w:t>组织实施</w:t>
      </w:r>
      <w:bookmarkEnd w:id="274"/>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坚决贯彻落实党中央各项决策部署，始终在思想上政治上行动上坚决与以习近平同志为核心的党中央保持高度一致，充分发挥党中央集中统一领导的定海神针作用，不断提高贯彻新发展理念、构建新发展格局能力和水平，扎扎实实做好经济工作。切实加强党委领导经济工作的制度化建设，成立江东新区“十四五”规划实施领导小组和办公室，统筹推进“十四五”规划的组织实施。加强党对统一战线和群团等工作的领导，健全民主科学决策机制，深化问政于民机制，广泛凝聚社会各界智慧和力量，形成推动规划实施的强大合力。</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275" w:name="_Toc67502378"/>
      <w:bookmarkStart w:id="276" w:name="_Toc59798244"/>
      <w:bookmarkStart w:id="277" w:name="_Toc61279569"/>
      <w:r>
        <w:rPr>
          <w:rFonts w:hint="eastAsia" w:ascii="Times New Roman" w:hAnsi="Times New Roman" w:eastAsia="方正楷体_GBK" w:cs="Times New Roman"/>
          <w:kern w:val="0"/>
          <w:sz w:val="32"/>
          <w:szCs w:val="32"/>
        </w:rPr>
        <w:t>第三节 强化规划衔接</w:t>
      </w:r>
      <w:bookmarkEnd w:id="275"/>
      <w:bookmarkEnd w:id="276"/>
      <w:bookmarkEnd w:id="277"/>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进一步理顺规划关系，明确各类各级规划功能定位，强化衔接协调，推进规划管理信息化，形成定位清晰、功能互补、纵向对接、横向衔接的规划体系。全面对标国家及省市“十四五”规划，做好江东新区“十四五”规划纲要与国土空间规划及各专项规划的有序衔接，将基础设施、产业布局、城乡建设等方面落实到国土空间规划“一张图”，务实推进重大项目、重大政策落地实施。</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278" w:name="_Toc61279570"/>
      <w:bookmarkStart w:id="279" w:name="_Toc67502379"/>
      <w:bookmarkStart w:id="280" w:name="_Toc59798245"/>
      <w:r>
        <w:rPr>
          <w:rFonts w:hint="eastAsia" w:ascii="Times New Roman" w:hAnsi="Times New Roman" w:eastAsia="方正楷体_GBK" w:cs="Times New Roman"/>
          <w:kern w:val="0"/>
          <w:sz w:val="32"/>
          <w:szCs w:val="32"/>
        </w:rPr>
        <w:t>第四节 强化要素保障</w:t>
      </w:r>
      <w:bookmarkEnd w:id="278"/>
      <w:bookmarkEnd w:id="279"/>
      <w:bookmarkEnd w:id="280"/>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发挥财政职能，多渠道筹措资金，综合利用政府投资补助、贷款贴息等多种方式，鼓励和引导社会资本投资重大项目，集中财力保证政府投资重大项目的资金需求，为新区经济高质量发展提供资金保障。优化财政支出结构，优先安排涉及民生、公共服务等领域的财政支出和项目投入。推动财政金融互动，引导金融机构加大对工业企业的信贷投放力度。协调发挥担保机构作用，切实降低企业融资成本。加快落实国土空间规划，稳步推进农村土地改革，优化土地资源配置和空间布局，统筹各业各类土地需求。深化各领域干部队伍人才建设，深化人才引进和人才培养机制，为新区加快发展汇聚强大人才力量。</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281" w:name="_Toc67502380"/>
      <w:bookmarkStart w:id="282" w:name="_Toc61279571"/>
      <w:bookmarkStart w:id="283" w:name="_Toc59798246"/>
      <w:r>
        <w:rPr>
          <w:rFonts w:hint="eastAsia" w:ascii="Times New Roman" w:hAnsi="Times New Roman" w:eastAsia="方正楷体_GBK" w:cs="Times New Roman"/>
          <w:kern w:val="0"/>
          <w:sz w:val="32"/>
          <w:szCs w:val="32"/>
        </w:rPr>
        <w:t>第五节 强化项目支撑</w:t>
      </w:r>
      <w:bookmarkEnd w:id="281"/>
      <w:bookmarkEnd w:id="282"/>
      <w:bookmarkEnd w:id="283"/>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围绕开放合作、产业共建、乡村振兴、民生短板、生态发展等重点领域，组织实施好一批关系全局和长远发展的重大项目，全区共谋划了</w:t>
      </w:r>
      <w:r>
        <w:rPr>
          <w:rFonts w:ascii="Times New Roman" w:hAnsi="Times New Roman" w:eastAsia="方正仿宋_GBK" w:cs="Times New Roman"/>
          <w:sz w:val="32"/>
          <w:szCs w:val="22"/>
        </w:rPr>
        <w:t>129</w:t>
      </w:r>
      <w:r>
        <w:rPr>
          <w:rFonts w:hint="eastAsia" w:ascii="Times New Roman" w:hAnsi="Times New Roman" w:eastAsia="方正仿宋_GBK" w:cs="Times New Roman"/>
          <w:sz w:val="32"/>
          <w:szCs w:val="22"/>
        </w:rPr>
        <w:t>项重点项目，“十四五”期间计划投资</w:t>
      </w:r>
      <w:r>
        <w:rPr>
          <w:rFonts w:ascii="Times New Roman" w:hAnsi="Times New Roman" w:eastAsia="方正仿宋_GBK" w:cs="Times New Roman"/>
          <w:sz w:val="32"/>
          <w:szCs w:val="22"/>
        </w:rPr>
        <w:t>641亿元</w:t>
      </w:r>
      <w:r>
        <w:rPr>
          <w:rFonts w:hint="eastAsia" w:ascii="Times New Roman" w:hAnsi="Times New Roman" w:eastAsia="方正仿宋_GBK" w:cs="Times New Roman"/>
          <w:sz w:val="32"/>
          <w:szCs w:val="22"/>
        </w:rPr>
        <w:t>。抓好重大项目建设用地保障，优先保障共建产业、乡村振兴等相关产业、教育医疗等公共服务、交通和水务等重大基础设施的用地需求。强化重大项目前期论证，完善重大项目联动协调机制，加快项目落地。</w:t>
      </w:r>
    </w:p>
    <w:p>
      <w:pPr>
        <w:adjustRightInd w:val="0"/>
        <w:snapToGrid w:val="0"/>
        <w:spacing w:before="156" w:beforeLines="50" w:after="156" w:afterLines="50" w:line="580" w:lineRule="exact"/>
        <w:jc w:val="center"/>
        <w:outlineLvl w:val="1"/>
        <w:rPr>
          <w:rFonts w:ascii="Times New Roman" w:hAnsi="Times New Roman" w:eastAsia="方正楷体_GBK" w:cs="Times New Roman"/>
          <w:kern w:val="0"/>
          <w:sz w:val="32"/>
          <w:szCs w:val="32"/>
        </w:rPr>
      </w:pPr>
      <w:bookmarkStart w:id="284" w:name="_Toc59798247"/>
      <w:bookmarkStart w:id="285" w:name="_Toc67502381"/>
      <w:bookmarkStart w:id="286" w:name="_Toc61279572"/>
      <w:r>
        <w:rPr>
          <w:rFonts w:hint="eastAsia" w:ascii="Times New Roman" w:hAnsi="Times New Roman" w:eastAsia="方正楷体_GBK" w:cs="Times New Roman"/>
          <w:kern w:val="0"/>
          <w:sz w:val="32"/>
          <w:szCs w:val="32"/>
        </w:rPr>
        <w:t>第六节 强化评估考核</w:t>
      </w:r>
      <w:bookmarkEnd w:id="284"/>
      <w:bookmarkEnd w:id="285"/>
      <w:bookmarkEnd w:id="286"/>
    </w:p>
    <w:p>
      <w:pPr>
        <w:adjustRightInd w:val="0"/>
        <w:snapToGrid w:val="0"/>
        <w:spacing w:line="580" w:lineRule="exact"/>
        <w:ind w:firstLine="640" w:firstLineChars="200"/>
        <w:rPr>
          <w:rFonts w:ascii="Times New Roman" w:hAnsi="Times New Roman" w:eastAsia="方正仿宋_GBK" w:cs="Times New Roman"/>
          <w:sz w:val="32"/>
          <w:szCs w:val="22"/>
        </w:rPr>
      </w:pPr>
      <w:r>
        <w:rPr>
          <w:rFonts w:hint="eastAsia" w:ascii="Times New Roman" w:hAnsi="Times New Roman" w:eastAsia="方正仿宋_GBK" w:cs="Times New Roman"/>
          <w:sz w:val="32"/>
          <w:szCs w:val="22"/>
        </w:rPr>
        <w:t>积极落实规划实施，及时反馈规划实施进展情况。做好规划的年度检测分析、中期评估和总结评估，建立科学合理的考核评估机制。将“十四五”规划纲要的主要指标分解纳入年度指标体系并做好年度间综合平衡，进一步明确责任分工和目标，通过滚动实施推进江东新区经济社会各领域朝着“十四五”规划纲要确定的目标发展。</w:t>
      </w:r>
    </w:p>
    <w:p>
      <w:pPr>
        <w:pStyle w:val="2"/>
      </w:pPr>
    </w:p>
    <w:p/>
    <w:p>
      <w:pPr>
        <w:pStyle w:val="2"/>
      </w:pPr>
    </w:p>
    <w:p>
      <w:pPr>
        <w:adjustRightInd w:val="0"/>
        <w:snapToGrid w:val="0"/>
        <w:spacing w:line="600" w:lineRule="exact"/>
        <w:jc w:val="left"/>
        <w:rPr>
          <w:rFonts w:ascii="黑体" w:hAnsi="黑体" w:eastAsia="黑体" w:cs="黑体"/>
          <w:sz w:val="32"/>
          <w:szCs w:val="22"/>
        </w:rPr>
      </w:pPr>
      <w:r>
        <w:rPr>
          <w:rFonts w:hint="eastAsia" w:ascii="黑体" w:hAnsi="黑体" w:eastAsia="黑体" w:cs="黑体"/>
          <w:sz w:val="32"/>
          <w:szCs w:val="22"/>
        </w:rPr>
        <w:t>附件1</w:t>
      </w:r>
    </w:p>
    <w:p>
      <w:pPr>
        <w:adjustRightInd w:val="0"/>
        <w:snapToGrid w:val="0"/>
        <w:spacing w:line="600" w:lineRule="exact"/>
        <w:ind w:firstLine="640" w:firstLineChars="200"/>
        <w:jc w:val="center"/>
        <w:rPr>
          <w:rFonts w:ascii="Times New Roman" w:hAnsi="Times New Roman" w:eastAsia="方正黑体_GBK" w:cs="Times New Roman"/>
          <w:bCs/>
          <w:kern w:val="44"/>
          <w:sz w:val="32"/>
          <w:szCs w:val="32"/>
          <w:lang w:val="zh-CN"/>
        </w:rPr>
      </w:pPr>
      <w:r>
        <w:rPr>
          <w:rFonts w:hint="eastAsia" w:ascii="Times New Roman" w:hAnsi="Times New Roman" w:eastAsia="方正黑体_GBK" w:cs="Times New Roman"/>
          <w:bCs/>
          <w:kern w:val="44"/>
          <w:sz w:val="32"/>
          <w:szCs w:val="32"/>
          <w:lang w:val="zh-CN"/>
        </w:rPr>
        <w:t>名 词 解 释</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五位一体：</w:t>
      </w:r>
      <w:r>
        <w:rPr>
          <w:rFonts w:hint="eastAsia" w:ascii="Times New Roman" w:hAnsi="Times New Roman" w:eastAsia="方正仿宋_GBK" w:cs="Times New Roman"/>
          <w:sz w:val="32"/>
          <w:szCs w:val="32"/>
        </w:rPr>
        <w:t>党的十八大报告对五位一体总体布局的阐述是，全面推进经济建设、政治建设、文化建设、社会建设、生态文明建设，实现以人为本、全面协调可持续的科学发展。</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四个全面：</w:t>
      </w:r>
      <w:r>
        <w:rPr>
          <w:rFonts w:hint="eastAsia" w:ascii="Times New Roman" w:hAnsi="Times New Roman" w:eastAsia="方正仿宋_GBK" w:cs="Times New Roman"/>
          <w:sz w:val="32"/>
          <w:szCs w:val="32"/>
        </w:rPr>
        <w:t>即全面建设社会主义现代化国家、全面深化改革、全面依法治国、全面从严治党。</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深河特别合作区：</w:t>
      </w:r>
      <w:r>
        <w:rPr>
          <w:rFonts w:hint="eastAsia" w:ascii="Times New Roman" w:hAnsi="Times New Roman" w:eastAsia="方正仿宋_GBK" w:cs="Times New Roman"/>
          <w:sz w:val="32"/>
          <w:szCs w:val="32"/>
        </w:rPr>
        <w:t>是河源加快“融湾”“融深”步伐、加强对外开放的重大平台，是深圳与河源政府的合作发展片区，初步设想在河源古竹镇（</w:t>
      </w:r>
      <w:r>
        <w:rPr>
          <w:rFonts w:ascii="Times New Roman" w:hAnsi="Times New Roman" w:eastAsia="方正仿宋_GBK" w:cs="Times New Roman"/>
          <w:sz w:val="32"/>
          <w:szCs w:val="32"/>
        </w:rPr>
        <w:t>278.1平方公里）、义容镇（356.2平方公里）区域，由两市商定范围建立深河特别合作区</w:t>
      </w:r>
      <w:r>
        <w:rPr>
          <w:rFonts w:hint="eastAsia" w:ascii="Times New Roman" w:hAnsi="Times New Roman" w:eastAsia="方正仿宋_GBK" w:cs="Times New Roman"/>
          <w:sz w:val="32"/>
          <w:szCs w:val="32"/>
        </w:rPr>
        <w:t>。</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两不愁三保障：</w:t>
      </w:r>
      <w:r>
        <w:rPr>
          <w:rFonts w:hint="eastAsia" w:ascii="Times New Roman" w:hAnsi="Times New Roman" w:eastAsia="方正仿宋_GBK" w:cs="Times New Roman"/>
          <w:sz w:val="32"/>
          <w:szCs w:val="32"/>
        </w:rPr>
        <w:t>脱贫攻坚的总目标，“两不愁”即不愁吃、不愁穿，“三保障”即义务教育、基本医疗、住房安全有保障。</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w:t>
      </w:r>
      <w:r>
        <w:rPr>
          <w:rFonts w:ascii="Times New Roman" w:hAnsi="Times New Roman" w:eastAsia="方正仿宋_GBK" w:cs="Times New Roman"/>
          <w:b/>
          <w:bCs/>
          <w:sz w:val="32"/>
          <w:szCs w:val="32"/>
        </w:rPr>
        <w:t>三旧</w:t>
      </w:r>
      <w:r>
        <w:rPr>
          <w:rFonts w:hint="eastAsia" w:ascii="Times New Roman" w:hAnsi="Times New Roman" w:eastAsia="方正仿宋_GBK" w:cs="Times New Roman"/>
          <w:b/>
          <w:bCs/>
          <w:sz w:val="32"/>
          <w:szCs w:val="32"/>
        </w:rPr>
        <w:t>”</w:t>
      </w:r>
      <w:r>
        <w:rPr>
          <w:rFonts w:ascii="Times New Roman" w:hAnsi="Times New Roman" w:eastAsia="方正仿宋_GBK" w:cs="Times New Roman"/>
          <w:b/>
          <w:bCs/>
          <w:sz w:val="32"/>
          <w:szCs w:val="32"/>
        </w:rPr>
        <w:t>改造</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指广东省特有的改造模式，分别是“旧城镇、旧厂房、旧村庄”改造。</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一门式，一网式：</w:t>
      </w:r>
      <w:r>
        <w:rPr>
          <w:rFonts w:hint="eastAsia" w:ascii="Times New Roman" w:hAnsi="Times New Roman" w:eastAsia="方正仿宋_GBK" w:cs="Times New Roman"/>
          <w:sz w:val="32"/>
          <w:szCs w:val="32"/>
        </w:rPr>
        <w:t>依托各级实体办事大厅和网上办事大厅，创新政府服务模式，整合部门分设的办事窗口和审批服务系统为政府综合服务窗口和网上统一申办受理平台，实现一个门、一张网办事。</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一枚公章管审批</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经新区管委会同意，新区确定列入划转事项计划</w:t>
      </w:r>
      <w:r>
        <w:rPr>
          <w:rFonts w:ascii="Times New Roman" w:hAnsi="Times New Roman" w:eastAsia="方正仿宋_GBK" w:cs="Times New Roman"/>
          <w:sz w:val="32"/>
          <w:szCs w:val="32"/>
        </w:rPr>
        <w:t>194项</w:t>
      </w:r>
      <w:r>
        <w:rPr>
          <w:rFonts w:hint="eastAsia" w:ascii="Times New Roman" w:hAnsi="Times New Roman" w:eastAsia="方正仿宋_GBK" w:cs="Times New Roman"/>
          <w:sz w:val="32"/>
          <w:szCs w:val="32"/>
        </w:rPr>
        <w:t>统一划入新区行政审批局，由行政审批局行使行政审批职能，对已划转审批局事项对外颁发的证照文本加盖“河源江东新区行政审批局审批专用章”，实现“一枚公章管审批”。</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政务服务事项颗粒化梳理</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对政务服务事项的关键要素，按照逻辑关系细化到底，对办事条件、材料要求及内容进行标签化处理，做到材料、申请表和证照“最小颗粒化”。</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一村一品、一镇一业：</w:t>
      </w:r>
      <w:r>
        <w:rPr>
          <w:rFonts w:hint="eastAsia" w:ascii="Times New Roman" w:hAnsi="Times New Roman" w:eastAsia="方正仿宋_GBK" w:cs="Times New Roman"/>
          <w:sz w:val="32"/>
          <w:szCs w:val="32"/>
        </w:rPr>
        <w:t>2018年，广东省印发《广东省“一村一品、一镇一业”富民兴村三年行动方案（</w:t>
      </w:r>
      <w:r>
        <w:rPr>
          <w:rFonts w:ascii="Times New Roman" w:hAnsi="Times New Roman" w:eastAsia="方正仿宋_GBK" w:cs="Times New Roman"/>
          <w:sz w:val="32"/>
          <w:szCs w:val="32"/>
        </w:rPr>
        <w:t>2018-2020年）》</w:t>
      </w:r>
      <w:r>
        <w:rPr>
          <w:rFonts w:hint="eastAsia" w:ascii="Times New Roman" w:hAnsi="Times New Roman" w:eastAsia="方正仿宋_GBK" w:cs="Times New Roman"/>
          <w:sz w:val="32"/>
          <w:szCs w:val="32"/>
        </w:rPr>
        <w:t>，提出要发展“一村一品、一镇一业”特色经济，由资源变产品、产品变商品、商品变名品的过程，带动产品开发、产业发展、富裕农民，振兴一方经济。</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四好农村路：</w:t>
      </w:r>
      <w:r>
        <w:rPr>
          <w:rFonts w:hint="eastAsia" w:ascii="Times New Roman" w:hAnsi="Times New Roman" w:eastAsia="方正仿宋_GBK" w:cs="Times New Roman"/>
          <w:sz w:val="32"/>
          <w:szCs w:val="32"/>
        </w:rPr>
        <w:t>习近平总书记于</w:t>
      </w:r>
      <w:r>
        <w:rPr>
          <w:rFonts w:ascii="Times New Roman" w:hAnsi="Times New Roman" w:eastAsia="方正仿宋_GBK" w:cs="Times New Roman"/>
          <w:sz w:val="32"/>
          <w:szCs w:val="32"/>
        </w:rPr>
        <w:t>2014年3月4日提出</w:t>
      </w:r>
      <w:r>
        <w:rPr>
          <w:rFonts w:hint="eastAsia" w:ascii="Times New Roman" w:hAnsi="Times New Roman" w:eastAsia="方正仿宋_GBK" w:cs="Times New Roman"/>
          <w:sz w:val="32"/>
          <w:szCs w:val="32"/>
        </w:rPr>
        <w:t>，要进一步把农村公路建好、管好、护好和运营好。</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三清三拆三整治：</w:t>
      </w:r>
      <w:r>
        <w:rPr>
          <w:rFonts w:hint="eastAsia" w:ascii="Times New Roman" w:hAnsi="Times New Roman" w:eastAsia="方正仿宋_GBK" w:cs="Times New Roman"/>
          <w:sz w:val="32"/>
          <w:szCs w:val="32"/>
        </w:rPr>
        <w:t>三清指清理村巷道及生产工具、建筑材料乱堆乱放，清理房前屋后和村巷道杂草杂物、积存垃圾，清理沟渠池塘溪河淤泥、漂浮物和障碍物；三拆指拆除危旧房、废弃猪牛栏及露天厕所茅房，拆除乱搭乱建、违章建筑，拆除非法违规商业广告、招牌等；三整治指整治垃圾、生活污水及水体污染。</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厕所革命：</w:t>
      </w:r>
      <w:r>
        <w:rPr>
          <w:rFonts w:hint="eastAsia" w:ascii="Times New Roman" w:hAnsi="Times New Roman" w:eastAsia="方正仿宋_GBK" w:cs="Times New Roman"/>
          <w:sz w:val="32"/>
          <w:szCs w:val="32"/>
        </w:rPr>
        <w:t>由联合国儿童基金会提出，对发展中国家的厕所进行改造的一项举措，2018年《农村人居环境整治三年行动方案》在十九届中央全面深化改革领导小组第一次会议上通过，“厕所革命”上升至国家层面。</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w:t>
      </w:r>
      <w:r>
        <w:rPr>
          <w:rFonts w:ascii="Times New Roman" w:hAnsi="Times New Roman" w:eastAsia="方正仿宋_GBK" w:cs="Times New Roman"/>
          <w:b/>
          <w:bCs/>
          <w:sz w:val="32"/>
          <w:szCs w:val="32"/>
        </w:rPr>
        <w:t>头雁</w:t>
      </w:r>
      <w:r>
        <w:rPr>
          <w:rFonts w:hint="eastAsia" w:ascii="Times New Roman" w:hAnsi="Times New Roman" w:eastAsia="方正仿宋_GBK" w:cs="Times New Roman"/>
          <w:b/>
          <w:bCs/>
          <w:sz w:val="32"/>
          <w:szCs w:val="32"/>
        </w:rPr>
        <w:t>”</w:t>
      </w:r>
      <w:r>
        <w:rPr>
          <w:rFonts w:ascii="Times New Roman" w:hAnsi="Times New Roman" w:eastAsia="方正仿宋_GBK" w:cs="Times New Roman"/>
          <w:b/>
          <w:bCs/>
          <w:sz w:val="32"/>
          <w:szCs w:val="32"/>
        </w:rPr>
        <w:t>工程</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围绕选优配强基层党组织书记、加强基层党组织书记的教育培养管理监督而实施的系列工作措施。</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双区：</w:t>
      </w:r>
      <w:r>
        <w:rPr>
          <w:rFonts w:hint="eastAsia" w:ascii="Times New Roman" w:hAnsi="Times New Roman" w:eastAsia="方正仿宋_GBK" w:cs="Times New Roman"/>
          <w:sz w:val="32"/>
          <w:szCs w:val="32"/>
        </w:rPr>
        <w:t>粤港澳大湾区和深圳建设中国特色社会主义先行示范区。</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双循环/新发展格局：</w:t>
      </w:r>
      <w:r>
        <w:rPr>
          <w:rFonts w:hint="eastAsia" w:ascii="Times New Roman" w:hAnsi="Times New Roman" w:eastAsia="方正仿宋_GBK" w:cs="Times New Roman"/>
          <w:sz w:val="32"/>
          <w:szCs w:val="32"/>
        </w:rPr>
        <w:t>以国内大循环为主体、国内国际双循环相互促进的新发展格局。</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一核一带一区：</w:t>
      </w:r>
      <w:r>
        <w:rPr>
          <w:rFonts w:hint="eastAsia" w:ascii="Times New Roman" w:hAnsi="Times New Roman" w:eastAsia="方正仿宋_GBK" w:cs="Times New Roman"/>
          <w:sz w:val="32"/>
          <w:szCs w:val="32"/>
        </w:rPr>
        <w:t>“一核”指珠三角核心区，“一带”指沿海经济带，“一区”指北部生态发展区。</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四个走在全国前列：</w:t>
      </w:r>
      <w:r>
        <w:rPr>
          <w:rFonts w:hint="eastAsia" w:ascii="Times New Roman" w:hAnsi="Times New Roman" w:eastAsia="方正仿宋_GBK" w:cs="Times New Roman"/>
          <w:sz w:val="32"/>
          <w:szCs w:val="32"/>
        </w:rPr>
        <w:t>2018年，习总书记寄语广东“以新的更大作为开创广东工作新局面，在构建推动经济高质量发展体制机制、建设现代化经济体系、形成全面开放新格局、营造共建共治共享社会治理格局上走在全国前列”。</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两个重要窗口：</w:t>
      </w:r>
      <w:r>
        <w:rPr>
          <w:rFonts w:hint="eastAsia" w:ascii="Times New Roman" w:hAnsi="Times New Roman" w:eastAsia="方正仿宋_GBK" w:cs="Times New Roman"/>
          <w:sz w:val="32"/>
          <w:szCs w:val="32"/>
        </w:rPr>
        <w:t>广东既是向世界展示我国改革开放成就的重要窗口，也是国际社会观察我国改革开放的重要窗口。</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三点三带四组团：</w:t>
      </w:r>
      <w:r>
        <w:rPr>
          <w:rFonts w:hint="eastAsia" w:ascii="Times New Roman" w:hAnsi="Times New Roman" w:eastAsia="方正仿宋_GBK" w:cs="Times New Roman"/>
          <w:sz w:val="32"/>
          <w:szCs w:val="32"/>
        </w:rPr>
        <w:t>“三点”是指高铁站、航运码头、</w:t>
      </w:r>
      <w:r>
        <w:rPr>
          <w:rFonts w:ascii="Times New Roman" w:hAnsi="Times New Roman" w:eastAsia="方正仿宋_GBK" w:cs="Times New Roman"/>
          <w:sz w:val="32"/>
          <w:szCs w:val="32"/>
        </w:rPr>
        <w:t>通用机场</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“三带”是指东江东岸产业带、沿主干道网产业带、绿色生态产业带</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“四组团”是指</w:t>
      </w:r>
      <w:r>
        <w:rPr>
          <w:rFonts w:hint="eastAsia" w:ascii="Times New Roman" w:hAnsi="Times New Roman" w:eastAsia="方正仿宋_GBK" w:cs="Times New Roman"/>
          <w:sz w:val="32"/>
          <w:szCs w:val="32"/>
        </w:rPr>
        <w:t>城市起步区组团、高铁新城组团、产业起步区组团、特色产业组团。</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深莞惠经济圈：</w:t>
      </w:r>
      <w:r>
        <w:rPr>
          <w:rFonts w:hint="eastAsia" w:ascii="Times New Roman" w:hAnsi="Times New Roman" w:eastAsia="方正仿宋_GBK" w:cs="Times New Roman"/>
          <w:sz w:val="32"/>
          <w:szCs w:val="32"/>
        </w:rPr>
        <w:t>2009年，深圳、东莞、惠州三市签订《深圳、东莞、惠州规划一体化合作协议》，</w:t>
      </w:r>
      <w:r>
        <w:rPr>
          <w:rFonts w:ascii="Times New Roman" w:hAnsi="Times New Roman" w:eastAsia="方正仿宋_GBK" w:cs="Times New Roman"/>
          <w:sz w:val="32"/>
          <w:szCs w:val="32"/>
        </w:rPr>
        <w:t>2014年汕尾、河源先后加入深莞惠经济圈。</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“示范区”“排头兵”“两个河源”：</w:t>
      </w:r>
      <w:r>
        <w:rPr>
          <w:rFonts w:hint="eastAsia" w:ascii="Times New Roman" w:hAnsi="Times New Roman" w:eastAsia="方正仿宋_GBK" w:cs="Times New Roman"/>
          <w:sz w:val="32"/>
          <w:szCs w:val="32"/>
        </w:rPr>
        <w:t>全省绿色发展的示范区；融入粤港澳大湾区的生态排头兵；生态河源、现代河源。</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都市经济：</w:t>
      </w:r>
      <w:r>
        <w:rPr>
          <w:rFonts w:hint="eastAsia" w:ascii="Times New Roman" w:hAnsi="Times New Roman" w:eastAsia="方正仿宋_GBK" w:cs="Times New Roman"/>
          <w:sz w:val="32"/>
          <w:szCs w:val="32"/>
        </w:rPr>
        <w:t>以城市为载体，由工业、商业等各种非农业经济部门聚集而成的地区经济。</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新发展理念：</w:t>
      </w:r>
      <w:r>
        <w:rPr>
          <w:rFonts w:hint="eastAsia" w:ascii="Times New Roman" w:hAnsi="Times New Roman" w:eastAsia="方正仿宋_GBK" w:cs="Times New Roman"/>
          <w:sz w:val="32"/>
          <w:szCs w:val="32"/>
        </w:rPr>
        <w:t>创新、协调、绿色、开放、共享。</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顶层设计：</w:t>
      </w:r>
      <w:r>
        <w:rPr>
          <w:rFonts w:hint="eastAsia" w:ascii="Times New Roman" w:hAnsi="Times New Roman" w:eastAsia="方正仿宋_GBK" w:cs="Times New Roman"/>
          <w:sz w:val="32"/>
          <w:szCs w:val="32"/>
        </w:rPr>
        <w:t>在国家“十二五”建议首次出现，指统筹考虑项目各层次和各要素，追根溯源，统揽全局，在最高层次上寻求问题的解决之道。</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深圳都市圈</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2020年6月5日，广东省发展改革委公布的《广东省开发区总体发展规划（</w:t>
      </w:r>
      <w:r>
        <w:rPr>
          <w:rFonts w:ascii="Times New Roman" w:hAnsi="Times New Roman" w:eastAsia="方正仿宋_GBK" w:cs="Times New Roman"/>
          <w:sz w:val="32"/>
          <w:szCs w:val="32"/>
        </w:rPr>
        <w:t>2020—2035年）》明确提出，推动广州都市圈（包括广州、佛山、肇庆、清远、云浮和韶关）、深圳都市圈（包括深圳、东莞、惠州、河源和汕尾）</w:t>
      </w:r>
      <w:r>
        <w:rPr>
          <w:rFonts w:hint="eastAsia" w:ascii="Times New Roman" w:hAnsi="Times New Roman" w:eastAsia="方正仿宋_GBK" w:cs="Times New Roman"/>
          <w:sz w:val="32"/>
          <w:szCs w:val="32"/>
        </w:rPr>
        <w:t>、珠江口西岸都市圈深度融合。</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CBD</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即中央商务区、中心商务区。</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TOD</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即公共交通导向型开发（</w:t>
      </w:r>
      <w:r>
        <w:rPr>
          <w:rFonts w:ascii="Times New Roman" w:hAnsi="Times New Roman" w:eastAsia="方正仿宋_GBK" w:cs="Times New Roman"/>
          <w:sz w:val="32"/>
          <w:szCs w:val="32"/>
        </w:rPr>
        <w:t>Transit-oriented development</w:t>
      </w:r>
      <w:r>
        <w:rPr>
          <w:rFonts w:hint="eastAsia" w:ascii="Times New Roman" w:hAnsi="Times New Roman" w:eastAsia="方正仿宋_GBK" w:cs="Times New Roman"/>
          <w:sz w:val="32"/>
          <w:szCs w:val="32"/>
        </w:rPr>
        <w:t>），一种以公共交通为导向的城市社区开发模式。</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高铁经济：</w:t>
      </w:r>
      <w:r>
        <w:rPr>
          <w:rFonts w:hint="eastAsia" w:ascii="Times New Roman" w:hAnsi="Times New Roman" w:eastAsia="方正仿宋_GBK" w:cs="Times New Roman"/>
          <w:sz w:val="32"/>
          <w:szCs w:val="32"/>
        </w:rPr>
        <w:t>依托高速铁路的综合优势，促使资本、技术、人力等生产要素，以及消费群体、消费资料等消费要素，在高速铁路沿线站点实现优化配置和集聚发展的一种新型经济形态。</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第三方物流：</w:t>
      </w:r>
      <w:r>
        <w:rPr>
          <w:rFonts w:hint="eastAsia" w:ascii="Times New Roman" w:hAnsi="Times New Roman" w:eastAsia="方正仿宋_GBK" w:cs="Times New Roman"/>
          <w:sz w:val="32"/>
          <w:szCs w:val="32"/>
        </w:rPr>
        <w:t>指生产经营企业为集中精力搞好主业，把原来属于自己处理的物流活动，以合同的形式委托给专业物流服务公司并保持密切联系，以达到对物流全程的管理和合同制物流</w:t>
      </w:r>
      <w:r>
        <w:rPr>
          <w:rFonts w:ascii="Times New Roman" w:hAnsi="Times New Roman" w:eastAsia="方正仿宋_GBK" w:cs="Times New Roman"/>
          <w:sz w:val="32"/>
          <w:szCs w:val="32"/>
        </w:rPr>
        <w:t>，是为第三方物流。</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冷链物流：</w:t>
      </w:r>
      <w:r>
        <w:rPr>
          <w:rFonts w:hint="eastAsia" w:ascii="Times New Roman" w:hAnsi="Times New Roman" w:eastAsia="方正仿宋_GBK" w:cs="Times New Roman"/>
          <w:sz w:val="32"/>
          <w:szCs w:val="32"/>
        </w:rPr>
        <w:t>指冷藏冷冻类食品在生产、贮藏运输、销售，到消费前的各个环节中始终处于规定的低温环境下，以保证食品质量，减少食品损耗的一项系统工程。</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瞪羚企业：</w:t>
      </w:r>
      <w:r>
        <w:rPr>
          <w:rFonts w:hint="eastAsia" w:ascii="Times New Roman" w:hAnsi="Times New Roman" w:eastAsia="方正仿宋_GBK" w:cs="Times New Roman"/>
          <w:sz w:val="32"/>
          <w:szCs w:val="32"/>
        </w:rPr>
        <w:t>指创业后跨过死亡谷以科技创新或商业模式创新为支撑进入高成长期的中小企业。</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独角兽企业：</w:t>
      </w:r>
      <w:r>
        <w:rPr>
          <w:rFonts w:hint="eastAsia" w:ascii="Times New Roman" w:hAnsi="Times New Roman" w:eastAsia="方正仿宋_GBK" w:cs="Times New Roman"/>
          <w:sz w:val="32"/>
          <w:szCs w:val="32"/>
        </w:rPr>
        <w:t>指成立不到</w:t>
      </w:r>
      <w:r>
        <w:rPr>
          <w:rFonts w:ascii="Times New Roman" w:hAnsi="Times New Roman" w:eastAsia="方正仿宋_GBK" w:cs="Times New Roman"/>
          <w:sz w:val="32"/>
          <w:szCs w:val="32"/>
        </w:rPr>
        <w:t>10年但估值10亿美元以上，又未在股票</w:t>
      </w:r>
      <w:r>
        <w:rPr>
          <w:rFonts w:hint="eastAsia" w:ascii="Times New Roman" w:hAnsi="Times New Roman" w:eastAsia="方正仿宋_GBK" w:cs="Times New Roman"/>
          <w:sz w:val="32"/>
          <w:szCs w:val="32"/>
        </w:rPr>
        <w:t>市场</w:t>
      </w:r>
      <w:r>
        <w:rPr>
          <w:rFonts w:ascii="Times New Roman" w:hAnsi="Times New Roman" w:eastAsia="方正仿宋_GBK" w:cs="Times New Roman"/>
          <w:sz w:val="32"/>
          <w:szCs w:val="32"/>
        </w:rPr>
        <w:t>上市的科技创业公司。</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“一站式”服务：</w:t>
      </w:r>
      <w:r>
        <w:rPr>
          <w:rFonts w:hint="eastAsia" w:ascii="Times New Roman" w:hAnsi="Times New Roman" w:eastAsia="方正仿宋_GBK" w:cs="Times New Roman"/>
          <w:sz w:val="32"/>
          <w:szCs w:val="32"/>
        </w:rPr>
        <w:t>服务的集成、整合。</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城市更新：</w:t>
      </w:r>
      <w:r>
        <w:rPr>
          <w:rFonts w:hint="eastAsia" w:ascii="Times New Roman" w:hAnsi="Times New Roman" w:eastAsia="方正仿宋_GBK" w:cs="Times New Roman"/>
          <w:sz w:val="32"/>
          <w:szCs w:val="32"/>
        </w:rPr>
        <w:t>将城市中已经不适应现代化城市社会生活的地区作必要的、有计划的改建活动。</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“三江六岸”生态城市功能廊道：</w:t>
      </w:r>
      <w:r>
        <w:rPr>
          <w:rFonts w:ascii="Times New Roman" w:hAnsi="Times New Roman" w:eastAsia="方正仿宋_GBK" w:cs="Times New Roman"/>
          <w:sz w:val="32"/>
          <w:szCs w:val="32"/>
        </w:rPr>
        <w:t>东江市区北段（与新</w:t>
      </w:r>
      <w:r>
        <w:rPr>
          <w:rFonts w:hint="eastAsia" w:ascii="Times New Roman" w:hAnsi="Times New Roman" w:eastAsia="方正仿宋_GBK" w:cs="Times New Roman"/>
          <w:sz w:val="32"/>
          <w:szCs w:val="32"/>
        </w:rPr>
        <w:t>丰江交汇处以北）、东江市区南段、新丰江及其两岸地带。</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总部经济：</w:t>
      </w:r>
      <w:r>
        <w:rPr>
          <w:rFonts w:hint="eastAsia" w:ascii="Times New Roman" w:hAnsi="Times New Roman" w:eastAsia="方正仿宋_GBK" w:cs="Times New Roman"/>
          <w:sz w:val="32"/>
          <w:szCs w:val="32"/>
        </w:rPr>
        <w:t>指一些区域由于特有的优势资源吸引企业总部集群布局，形成总部集聚效应，并通过“总部——制造基地”功能链条辐射带动生产制造基地所在区域发展，由此实现不同区域分工协作、资源优化配置的一种经济形态。</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海绵城市：</w:t>
      </w:r>
      <w:r>
        <w:rPr>
          <w:rFonts w:hint="eastAsia" w:ascii="Times New Roman" w:hAnsi="Times New Roman" w:eastAsia="方正仿宋_GBK" w:cs="Times New Roman"/>
          <w:sz w:val="32"/>
          <w:szCs w:val="32"/>
        </w:rPr>
        <w:t>城市能够像海绵一样，在适应环境变化和应对自然灾害等方面具有良好的“弹性”，下雨时吸水、蓄水、渗水、净水，需要时将蓄存的水“释放”并加以利用，以提升城市生态系统功能和减少城市洪涝灾害的发生。</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公园城市：</w:t>
      </w:r>
      <w:r>
        <w:rPr>
          <w:rFonts w:hint="eastAsia" w:ascii="Times New Roman" w:hAnsi="Times New Roman" w:eastAsia="方正仿宋_GBK" w:cs="Times New Roman"/>
          <w:sz w:val="32"/>
          <w:szCs w:val="32"/>
        </w:rPr>
        <w:t>以生态文明为引领，将公园形态与城市空间有机融合，生产生活生态空间相宜、自然经济社会人文相融的复合系统。</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智慧城市：</w:t>
      </w:r>
      <w:r>
        <w:rPr>
          <w:rFonts w:hint="eastAsia" w:ascii="Times New Roman" w:hAnsi="Times New Roman" w:eastAsia="方正仿宋_GBK" w:cs="Times New Roman"/>
          <w:sz w:val="32"/>
          <w:szCs w:val="32"/>
        </w:rPr>
        <w:t>利用先进的信息技术，实现城市智慧式管理和运行。</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人地钱挂钩：</w:t>
      </w:r>
      <w:r>
        <w:rPr>
          <w:rFonts w:hint="eastAsia" w:ascii="Times New Roman" w:hAnsi="Times New Roman" w:eastAsia="方正仿宋_GBK" w:cs="Times New Roman"/>
          <w:sz w:val="32"/>
          <w:szCs w:val="32"/>
        </w:rPr>
        <w:t>指财政转移支付与农业转移人口市民化挂钩、城镇建设用地新增指标与农业转移人口落户数挂钩、基建投资安排与农业转移人口市民化挂钩，是调动地方政府吸纳农业转移人口落户积极性的政策机制。</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亚健康：</w:t>
      </w:r>
      <w:r>
        <w:rPr>
          <w:rFonts w:hint="eastAsia" w:ascii="Times New Roman" w:hAnsi="Times New Roman" w:eastAsia="方正仿宋_GBK" w:cs="Times New Roman"/>
          <w:sz w:val="32"/>
          <w:szCs w:val="32"/>
        </w:rPr>
        <w:t>指人体处于健康和疾病之间的一种状态。</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实体经济：</w:t>
      </w:r>
      <w:r>
        <w:rPr>
          <w:rFonts w:hint="eastAsia" w:ascii="Times New Roman" w:hAnsi="Times New Roman" w:eastAsia="方正仿宋_GBK" w:cs="Times New Roman"/>
          <w:sz w:val="32"/>
          <w:szCs w:val="32"/>
        </w:rPr>
        <w:t>指服务的生产、流通和物质的、精神的产品等经济活动。</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众创空间：</w:t>
      </w:r>
      <w:r>
        <w:rPr>
          <w:rFonts w:hint="eastAsia" w:ascii="Times New Roman" w:hAnsi="Times New Roman" w:eastAsia="方正仿宋_GBK" w:cs="Times New Roman"/>
          <w:sz w:val="32"/>
          <w:szCs w:val="32"/>
        </w:rPr>
        <w:t>即创新型孵化器。是顺应创新</w:t>
      </w:r>
      <w:r>
        <w:rPr>
          <w:rFonts w:ascii="Times New Roman" w:hAnsi="Times New Roman" w:eastAsia="方正仿宋_GBK" w:cs="Times New Roman"/>
          <w:sz w:val="32"/>
          <w:szCs w:val="32"/>
        </w:rPr>
        <w:t>2.0时代趋势，通过市场化机制、专业化服务和资本化途径构建的低成本、便利化、全要素、开放式的新型创业公共服务平台的统称。</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“链主”企业：</w:t>
      </w:r>
      <w:r>
        <w:rPr>
          <w:rFonts w:hint="eastAsia" w:ascii="Times New Roman" w:hAnsi="Times New Roman" w:eastAsia="方正仿宋_GBK" w:cs="Times New Roman"/>
          <w:sz w:val="32"/>
          <w:szCs w:val="32"/>
        </w:rPr>
        <w:t>指在产业发展过程中能够充分利用外部资源、发挥自身比较优势，逐渐具备某一产业上中下游核心凝聚力的企业。</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深河科技园：</w:t>
      </w:r>
      <w:r>
        <w:rPr>
          <w:rFonts w:hint="eastAsia" w:ascii="Times New Roman" w:hAnsi="Times New Roman" w:eastAsia="方正仿宋_GBK" w:cs="Times New Roman"/>
          <w:sz w:val="32"/>
          <w:szCs w:val="32"/>
        </w:rPr>
        <w:t>为加快河源“融湾”“融深”步伐，河源市委与深圳科技工业园就深河科技园项目展开多次洽谈，初步确定选址江东新区高铁站东南沿江片区，总面积约</w:t>
      </w:r>
      <w:r>
        <w:rPr>
          <w:rFonts w:ascii="Times New Roman" w:hAnsi="Times New Roman" w:eastAsia="方正仿宋_GBK" w:cs="Times New Roman"/>
          <w:sz w:val="32"/>
          <w:szCs w:val="32"/>
        </w:rPr>
        <w:t>16.6平方公里</w:t>
      </w:r>
      <w:r>
        <w:rPr>
          <w:rFonts w:hint="eastAsia" w:ascii="Times New Roman" w:hAnsi="Times New Roman" w:eastAsia="方正仿宋_GBK" w:cs="Times New Roman"/>
          <w:sz w:val="32"/>
          <w:szCs w:val="32"/>
        </w:rPr>
        <w:t>。</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四大组团：</w:t>
      </w:r>
      <w:bookmarkStart w:id="287" w:name="_Hlk62833977"/>
      <w:r>
        <w:rPr>
          <w:rFonts w:hint="eastAsia" w:ascii="Times New Roman" w:hAnsi="Times New Roman" w:eastAsia="方正仿宋_GBK" w:cs="Times New Roman"/>
          <w:sz w:val="32"/>
          <w:szCs w:val="32"/>
        </w:rPr>
        <w:t>城市起步区组团、高铁新城组团、产业起步区组团、特色产业组团</w:t>
      </w:r>
      <w:bookmarkEnd w:id="287"/>
      <w:r>
        <w:rPr>
          <w:rFonts w:hint="eastAsia" w:ascii="Times New Roman" w:hAnsi="Times New Roman" w:eastAsia="方正仿宋_GBK" w:cs="Times New Roman"/>
          <w:sz w:val="32"/>
          <w:szCs w:val="32"/>
        </w:rPr>
        <w:t>。</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腾笼换鸟：</w:t>
      </w:r>
      <w:r>
        <w:rPr>
          <w:rFonts w:hint="eastAsia" w:ascii="Times New Roman" w:hAnsi="Times New Roman" w:eastAsia="方正仿宋_GBK" w:cs="Times New Roman"/>
          <w:sz w:val="32"/>
          <w:szCs w:val="32"/>
        </w:rPr>
        <w:t>省委书记汪洋在</w:t>
      </w:r>
      <w:r>
        <w:rPr>
          <w:rFonts w:ascii="Times New Roman" w:hAnsi="Times New Roman" w:eastAsia="方正仿宋_GBK" w:cs="Times New Roman"/>
          <w:sz w:val="32"/>
          <w:szCs w:val="32"/>
        </w:rPr>
        <w:t>2008年5月29日以《中共广东省委、广东省人民政府关于推进产业转移和劳动力转移的决定》文件形式正式提出，也叫“双转移战略”</w:t>
      </w:r>
      <w:r>
        <w:rPr>
          <w:rFonts w:hint="eastAsia" w:ascii="Times New Roman" w:hAnsi="Times New Roman" w:eastAsia="方正仿宋_GBK" w:cs="Times New Roman"/>
          <w:sz w:val="32"/>
          <w:szCs w:val="32"/>
        </w:rPr>
        <w:t>。具体指珠三角劳动密集型产业向东西两翼、粤北山区转移；</w:t>
      </w:r>
      <w:r>
        <w:rPr>
          <w:rFonts w:ascii="Times New Roman" w:hAnsi="Times New Roman" w:eastAsia="方正仿宋_GBK" w:cs="Times New Roman"/>
          <w:sz w:val="32"/>
          <w:szCs w:val="32"/>
        </w:rPr>
        <w:t>而东西两翼、粤北山区的劳动力，一方面向当地第二、第三产业转移，另一方面其中的一些较高素质劳动力，向发达的珠三角地区转移。</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制造业高质量发展“六大工程”：</w:t>
      </w:r>
      <w:r>
        <w:rPr>
          <w:rFonts w:hint="eastAsia" w:ascii="Times New Roman" w:hAnsi="Times New Roman" w:eastAsia="方正仿宋_GBK" w:cs="Times New Roman"/>
          <w:sz w:val="32"/>
          <w:szCs w:val="32"/>
        </w:rPr>
        <w:t>“强核工程”“立柱工程”“强链工程”“优化布局工程”“品质工程”“培土工程”。</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两只手：</w:t>
      </w:r>
      <w:r>
        <w:rPr>
          <w:rFonts w:hint="eastAsia" w:ascii="Times New Roman" w:hAnsi="Times New Roman" w:eastAsia="方正仿宋_GBK" w:cs="Times New Roman"/>
          <w:sz w:val="32"/>
          <w:szCs w:val="32"/>
        </w:rPr>
        <w:t>即两只手理论，一只是政府看得见的手，一只是市场无形的手，完善市场经济体制的改革还是离不开这两只手，关键是处理好两只手之间的关系。</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经营城市：</w:t>
      </w:r>
      <w:r>
        <w:rPr>
          <w:rFonts w:hint="eastAsia" w:ascii="Times New Roman" w:hAnsi="Times New Roman" w:eastAsia="方正仿宋_GBK" w:cs="Times New Roman"/>
          <w:sz w:val="32"/>
          <w:szCs w:val="32"/>
        </w:rPr>
        <w:t>指以城市政府为主导的多元经营主体根据城市功能对城市环境的要求，运用市场经济手段，对各种可经营资源进行市场运作，以实现资源资本的最大化与最优化，从而实现城市建设的良性循环、城市功能的提升及促进城市的和谐可持续发展。</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夜经济、地摊经济、小店经济、马路经济：</w:t>
      </w:r>
      <w:r>
        <w:rPr>
          <w:rFonts w:hint="eastAsia" w:ascii="Times New Roman" w:hAnsi="Times New Roman" w:eastAsia="方正仿宋_GBK" w:cs="Times New Roman"/>
          <w:sz w:val="32"/>
          <w:szCs w:val="32"/>
        </w:rPr>
        <w:t>夜经济指从当日</w:t>
      </w:r>
      <w:r>
        <w:rPr>
          <w:rFonts w:ascii="Times New Roman" w:hAnsi="Times New Roman" w:eastAsia="方正仿宋_GBK" w:cs="Times New Roman"/>
          <w:sz w:val="32"/>
          <w:szCs w:val="32"/>
        </w:rPr>
        <w:t>18时至次日凌晨2时所发生的服务业类经济活动</w:t>
      </w:r>
      <w:r>
        <w:rPr>
          <w:rFonts w:hint="eastAsia" w:ascii="Times New Roman" w:hAnsi="Times New Roman" w:eastAsia="方正仿宋_GBK" w:cs="Times New Roman"/>
          <w:sz w:val="32"/>
          <w:szCs w:val="32"/>
        </w:rPr>
        <w:t>；地摊经济指通过摆地摊获得收入来源而形成的一种经济形式；小店经济指基于小型店铺为载体形成的促进大众就业、服务改善民生、驱动多元化消费的经济形态；马路经济是指那些在马路边上摆摊设点，小本经营的经济实体。</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贸易高质量发展“十大工程”：</w:t>
      </w:r>
      <w:r>
        <w:rPr>
          <w:rFonts w:hint="eastAsia" w:ascii="Times New Roman" w:hAnsi="Times New Roman" w:eastAsia="方正仿宋_GBK" w:cs="Times New Roman"/>
          <w:sz w:val="32"/>
          <w:szCs w:val="32"/>
        </w:rPr>
        <w:t>实施贸易新业态工程、数字贸易工程、展会提升工程、“粤贸全球”“粤贸全国”品牌工程、重大进口平台工程、贸易投资融合工程、贸易龙头企业工程、贸易园区提质工程、消费中心城市建设工程、贸易金融创新工程等贸易高质量发展十大工程。</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抱团出海：</w:t>
      </w:r>
      <w:r>
        <w:rPr>
          <w:rFonts w:ascii="Times New Roman" w:hAnsi="Times New Roman" w:eastAsia="方正仿宋_GBK" w:cs="Times New Roman"/>
          <w:sz w:val="32"/>
          <w:szCs w:val="32"/>
        </w:rPr>
        <w:t>2015年5月23日，李克强总理在秘鲁出席中资企业座谈会时提出，在走出去过程中，面对地域文化差异和各种风险，企业一定要抱团出海，防止恶性竞争，国家会在金融等方面给予相应的政策优惠支持</w:t>
      </w:r>
      <w:r>
        <w:rPr>
          <w:rFonts w:hint="eastAsia" w:ascii="Times New Roman" w:hAnsi="Times New Roman" w:eastAsia="方正仿宋_GBK" w:cs="Times New Roman"/>
          <w:sz w:val="32"/>
          <w:szCs w:val="32"/>
        </w:rPr>
        <w:t>。</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国际标准：</w:t>
      </w:r>
      <w:r>
        <w:rPr>
          <w:rFonts w:hint="eastAsia" w:ascii="Times New Roman" w:hAnsi="Times New Roman" w:eastAsia="方正仿宋_GBK" w:cs="Times New Roman"/>
          <w:sz w:val="32"/>
          <w:szCs w:val="32"/>
        </w:rPr>
        <w:t>指国际标准化组织（</w:t>
      </w:r>
      <w:r>
        <w:rPr>
          <w:rFonts w:ascii="Times New Roman" w:hAnsi="Times New Roman" w:eastAsia="方正仿宋_GBK" w:cs="Times New Roman"/>
          <w:sz w:val="32"/>
          <w:szCs w:val="32"/>
        </w:rPr>
        <w:t>ISO）、国际电工委员会（IEC）和国际电信联盟（ITU）</w:t>
      </w:r>
      <w:r>
        <w:rPr>
          <w:rFonts w:hint="eastAsia" w:ascii="Times New Roman" w:hAnsi="Times New Roman" w:eastAsia="方正仿宋_GBK" w:cs="Times New Roman"/>
          <w:sz w:val="32"/>
          <w:szCs w:val="32"/>
        </w:rPr>
        <w:t>所制定的标准，以及</w:t>
      </w:r>
      <w:r>
        <w:rPr>
          <w:rFonts w:ascii="Times New Roman" w:hAnsi="Times New Roman" w:eastAsia="方正仿宋_GBK" w:cs="Times New Roman"/>
          <w:sz w:val="32"/>
          <w:szCs w:val="32"/>
        </w:rPr>
        <w:t>ISO为促进《关贸总协定</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贸易技术壁垒协议》即标准守则的贯彻实施所出版的《国际标准题内关键词索引（KWIC Index）》中收录的其他国际组织制定的标准。</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国外先进标准：</w:t>
      </w:r>
      <w:r>
        <w:rPr>
          <w:rFonts w:hint="eastAsia" w:ascii="Times New Roman" w:hAnsi="Times New Roman" w:eastAsia="方正仿宋_GBK" w:cs="Times New Roman"/>
          <w:sz w:val="32"/>
          <w:szCs w:val="32"/>
        </w:rPr>
        <w:t>指国际上有权威的区域性标准，世界上主要经济发达国家的国家标准和通行的团体标准，包括知名跨国企业标准在内的其他国际上公认先进的标准。</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“广交会”“进博会”：</w:t>
      </w:r>
      <w:r>
        <w:rPr>
          <w:rFonts w:hint="eastAsia" w:ascii="Times New Roman" w:hAnsi="Times New Roman" w:eastAsia="方正仿宋_GBK" w:cs="Times New Roman"/>
          <w:sz w:val="32"/>
          <w:szCs w:val="32"/>
        </w:rPr>
        <w:t>广交会又称中国出口商品交易会，每年春秋两季在广州举办，由商务部和广东省人民政府联合主办；进博会即中国国际进口博览会，</w:t>
      </w:r>
      <w:r>
        <w:rPr>
          <w:rFonts w:ascii="Times New Roman" w:hAnsi="Times New Roman" w:eastAsia="方正仿宋_GBK" w:cs="Times New Roman"/>
          <w:sz w:val="32"/>
          <w:szCs w:val="32"/>
        </w:rPr>
        <w:t>是上海市举办的年度博览会，由中华人民共和国商务部、上海市人民政府联合主办。</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同线同标同质：</w:t>
      </w:r>
      <w:r>
        <w:rPr>
          <w:rFonts w:hint="eastAsia" w:ascii="Times New Roman" w:hAnsi="Times New Roman" w:eastAsia="方正仿宋_GBK" w:cs="Times New Roman"/>
          <w:sz w:val="32"/>
          <w:szCs w:val="32"/>
        </w:rPr>
        <w:t>指出口企业在同一条生产线上，按照相同的标准生产出口和内销产品，从而使供应国内市场和供应国际市场的产品达到相同的质量水准。</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一带一路：</w:t>
      </w:r>
      <w:r>
        <w:rPr>
          <w:rFonts w:hint="eastAsia" w:ascii="Times New Roman" w:hAnsi="Times New Roman" w:eastAsia="方正仿宋_GBK" w:cs="Times New Roman"/>
          <w:sz w:val="32"/>
          <w:szCs w:val="32"/>
        </w:rPr>
        <w:t>丝绸之路经济带和</w:t>
      </w:r>
      <w:r>
        <w:rPr>
          <w:rFonts w:ascii="Times New Roman" w:hAnsi="Times New Roman" w:eastAsia="方正仿宋_GBK" w:cs="Times New Roman"/>
          <w:sz w:val="32"/>
          <w:szCs w:val="32"/>
        </w:rPr>
        <w:t>21世纪海上丝绸之路。</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路长制：</w:t>
      </w:r>
      <w:r>
        <w:rPr>
          <w:rFonts w:hint="eastAsia" w:ascii="Times New Roman" w:hAnsi="Times New Roman" w:eastAsia="方正仿宋_GBK" w:cs="Times New Roman"/>
          <w:sz w:val="32"/>
          <w:szCs w:val="32"/>
        </w:rPr>
        <w:t>全称“路长责任制”，2020年12月，交通运输部印发《关于全面做好农村公路“路长制”工作的通知》，提出要进一步压实农村公路管理养护责任，全面做好农村公路县、乡、村三级“路长制”工作。</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面上村：</w:t>
      </w:r>
      <w:r>
        <w:rPr>
          <w:rFonts w:hint="eastAsia" w:ascii="Times New Roman" w:hAnsi="Times New Roman" w:eastAsia="方正仿宋_GBK" w:cs="Times New Roman"/>
          <w:sz w:val="32"/>
          <w:szCs w:val="32"/>
        </w:rPr>
        <w:t>扶贫工作中，以村为单位，可以分为贫困村和面上村，其中</w:t>
      </w:r>
      <w:r>
        <w:rPr>
          <w:rFonts w:ascii="Times New Roman" w:hAnsi="Times New Roman" w:eastAsia="方正仿宋_GBK" w:cs="Times New Roman"/>
          <w:sz w:val="32"/>
          <w:szCs w:val="32"/>
        </w:rPr>
        <w:t>贫困人口超过200人</w:t>
      </w:r>
      <w:r>
        <w:rPr>
          <w:rFonts w:hint="eastAsia" w:ascii="Times New Roman" w:hAnsi="Times New Roman" w:eastAsia="方正仿宋_GBK" w:cs="Times New Roman"/>
          <w:sz w:val="32"/>
          <w:szCs w:val="32"/>
        </w:rPr>
        <w:t>为</w:t>
      </w:r>
      <w:r>
        <w:rPr>
          <w:rFonts w:ascii="Times New Roman" w:hAnsi="Times New Roman" w:eastAsia="方正仿宋_GBK" w:cs="Times New Roman"/>
          <w:sz w:val="32"/>
          <w:szCs w:val="32"/>
        </w:rPr>
        <w:t>贫困村，低于200人的村称为面上村</w:t>
      </w:r>
      <w:r>
        <w:rPr>
          <w:rFonts w:hint="eastAsia" w:ascii="Times New Roman" w:hAnsi="Times New Roman" w:eastAsia="方正仿宋_GBK" w:cs="Times New Roman"/>
          <w:sz w:val="32"/>
          <w:szCs w:val="32"/>
        </w:rPr>
        <w:t>。</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三大模式：</w:t>
      </w:r>
      <w:r>
        <w:rPr>
          <w:rFonts w:hint="eastAsia" w:ascii="Times New Roman" w:hAnsi="Times New Roman" w:eastAsia="方正仿宋_GBK" w:cs="Times New Roman"/>
          <w:sz w:val="32"/>
          <w:szCs w:val="32"/>
        </w:rPr>
        <w:t>以雅色村为代表的“村集体与社会资本共同撬动模式”，以双坑村为代表的“电商特色产业模式”，以桂林村为代表的“三产融合发展模式”。</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“六水”“六林”：</w:t>
      </w:r>
      <w:r>
        <w:rPr>
          <w:rFonts w:hint="eastAsia" w:ascii="Times New Roman" w:hAnsi="Times New Roman" w:eastAsia="方正仿宋_GBK" w:cs="Times New Roman"/>
          <w:sz w:val="32"/>
          <w:szCs w:val="32"/>
        </w:rPr>
        <w:t>“六水”指系统谋划推进“水系、水运、水能、水资源、水产业、水环境”等“六水”文章，“六林”指加快推进“储备林、经济林、碳汇林、林产品、森林旅游、林下经济”等“六林”文章。</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农业“接二连三”：</w:t>
      </w:r>
      <w:r>
        <w:rPr>
          <w:rFonts w:hint="eastAsia" w:ascii="Times New Roman" w:hAnsi="Times New Roman" w:eastAsia="方正仿宋_GBK" w:cs="Times New Roman"/>
          <w:sz w:val="32"/>
          <w:szCs w:val="32"/>
        </w:rPr>
        <w:t>以农业生产为基础，推动一二产业或一三产业联动，实现产业融合互动。</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“农字号”特色小镇：</w:t>
      </w:r>
      <w:r>
        <w:rPr>
          <w:rFonts w:hint="eastAsia" w:ascii="Times New Roman" w:hAnsi="Times New Roman" w:eastAsia="方正仿宋_GBK" w:cs="Times New Roman"/>
          <w:sz w:val="32"/>
          <w:szCs w:val="32"/>
        </w:rPr>
        <w:t>国务院办公厅《关于进一步促进农产品加工业发展的意见》（国办发〔</w:t>
      </w:r>
      <w:r>
        <w:rPr>
          <w:rFonts w:ascii="Times New Roman" w:hAnsi="Times New Roman" w:eastAsia="方正仿宋_GBK" w:cs="Times New Roman"/>
          <w:sz w:val="32"/>
          <w:szCs w:val="32"/>
        </w:rPr>
        <w:t>2016〕93号）中提出“加快建设农产品加工特色小镇，实现产城融合发展”。</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“粤字号”：</w:t>
      </w:r>
      <w:r>
        <w:rPr>
          <w:rFonts w:hint="eastAsia" w:ascii="Times New Roman" w:hAnsi="Times New Roman" w:eastAsia="方正仿宋_GBK" w:cs="Times New Roman"/>
          <w:sz w:val="32"/>
          <w:szCs w:val="32"/>
        </w:rPr>
        <w:t>2018年，省农业农村厅印发《关于加快推进“粤字号”品牌强农的实施意见》，提出要深入推进“粤字号”品牌强农，把具有岭南特色的“粤字号”农业品牌做大做强。</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w:t>
      </w:r>
      <w:r>
        <w:rPr>
          <w:rFonts w:ascii="Times New Roman" w:hAnsi="Times New Roman" w:eastAsia="方正仿宋_GBK" w:cs="Times New Roman"/>
          <w:b/>
          <w:bCs/>
          <w:sz w:val="32"/>
          <w:szCs w:val="32"/>
        </w:rPr>
        <w:t>乡字号</w:t>
      </w:r>
      <w:r>
        <w:rPr>
          <w:rFonts w:hint="eastAsia" w:ascii="Times New Roman" w:hAnsi="Times New Roman" w:eastAsia="方正仿宋_GBK" w:cs="Times New Roman"/>
          <w:b/>
          <w:bCs/>
          <w:sz w:val="32"/>
          <w:szCs w:val="32"/>
        </w:rPr>
        <w:t>”“</w:t>
      </w:r>
      <w:r>
        <w:rPr>
          <w:rFonts w:ascii="Times New Roman" w:hAnsi="Times New Roman" w:eastAsia="方正仿宋_GBK" w:cs="Times New Roman"/>
          <w:b/>
          <w:bCs/>
          <w:sz w:val="32"/>
          <w:szCs w:val="32"/>
        </w:rPr>
        <w:t>土字号</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特指乡村特色产品品牌，《国务院关于促进乡村产业振兴的指导意见》指出，培育一批“土字号”、“乡字号”产品品牌。</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“四边三化”：</w:t>
      </w:r>
      <w:r>
        <w:rPr>
          <w:rFonts w:hint="eastAsia" w:ascii="Times New Roman" w:hAnsi="Times New Roman" w:eastAsia="方正仿宋_GBK" w:cs="Times New Roman"/>
          <w:sz w:val="32"/>
          <w:szCs w:val="32"/>
        </w:rPr>
        <w:t>在公路边、铁路边、河边、山边等区域开展洁化、绿化、美化行动，</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“一村万树”：</w:t>
      </w:r>
      <w:r>
        <w:rPr>
          <w:rFonts w:hint="eastAsia" w:ascii="Times New Roman" w:hAnsi="Times New Roman" w:eastAsia="方正仿宋_GBK" w:cs="Times New Roman"/>
          <w:sz w:val="32"/>
          <w:szCs w:val="32"/>
        </w:rPr>
        <w:t>在推进农村人居环境建设进程中，</w:t>
      </w:r>
      <w:r>
        <w:rPr>
          <w:rFonts w:ascii="Times New Roman" w:hAnsi="Times New Roman" w:eastAsia="方正仿宋_GBK" w:cs="Times New Roman"/>
          <w:sz w:val="32"/>
          <w:szCs w:val="32"/>
        </w:rPr>
        <w:t>利用农村边角地、废弃地、荒山地、拆违地、庭院地等，种植适合本地的珍贵树、收益较高的经济树、观赏价值较好的彩色树。</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南粤党员先锋工程：</w:t>
      </w:r>
      <w:r>
        <w:rPr>
          <w:rFonts w:hint="eastAsia" w:ascii="Times New Roman" w:hAnsi="Times New Roman" w:eastAsia="方正仿宋_GBK" w:cs="Times New Roman"/>
          <w:sz w:val="32"/>
          <w:szCs w:val="32"/>
        </w:rPr>
        <w:t>广东省委办公厅印发《广东省加强党的基层组织建设三年行动计划（</w:t>
      </w:r>
      <w:r>
        <w:rPr>
          <w:rFonts w:ascii="Times New Roman" w:hAnsi="Times New Roman" w:eastAsia="方正仿宋_GBK" w:cs="Times New Roman"/>
          <w:sz w:val="32"/>
          <w:szCs w:val="32"/>
        </w:rPr>
        <w:t>2018－2020年）》，</w:t>
      </w:r>
      <w:r>
        <w:rPr>
          <w:rFonts w:hint="eastAsia" w:ascii="Times New Roman" w:hAnsi="Times New Roman" w:eastAsia="方正仿宋_GBK" w:cs="Times New Roman"/>
          <w:sz w:val="32"/>
          <w:szCs w:val="32"/>
        </w:rPr>
        <w:t>其中提出实施“南粤党员先锋工程”，分类制定党员评星定级量化指标，发挥广大党员在基层治理中的先锋模范作用。</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农村集体</w:t>
      </w:r>
      <w:r>
        <w:rPr>
          <w:rFonts w:hint="eastAsia" w:ascii="Times New Roman" w:hAnsi="Times New Roman" w:eastAsia="方正仿宋_GBK" w:cs="Times New Roman"/>
          <w:b/>
          <w:bCs/>
          <w:sz w:val="32"/>
          <w:szCs w:val="32"/>
        </w:rPr>
        <w:t>三资：</w:t>
      </w:r>
      <w:r>
        <w:rPr>
          <w:rFonts w:hint="eastAsia" w:ascii="Times New Roman" w:hAnsi="Times New Roman" w:eastAsia="方正仿宋_GBK" w:cs="Times New Roman"/>
          <w:sz w:val="32"/>
          <w:szCs w:val="32"/>
        </w:rPr>
        <w:t>指农村集体资产、资源以及资金。</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三农：</w:t>
      </w:r>
      <w:r>
        <w:rPr>
          <w:rFonts w:hint="eastAsia" w:ascii="Times New Roman" w:hAnsi="Times New Roman" w:eastAsia="方正仿宋_GBK" w:cs="Times New Roman"/>
          <w:sz w:val="32"/>
          <w:szCs w:val="32"/>
        </w:rPr>
        <w:t>指农业、农村和农民。</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原地市民化：</w:t>
      </w:r>
      <w:r>
        <w:rPr>
          <w:rFonts w:hint="eastAsia" w:ascii="Times New Roman" w:hAnsi="Times New Roman" w:eastAsia="方正仿宋_GBK" w:cs="Times New Roman"/>
          <w:sz w:val="32"/>
          <w:szCs w:val="32"/>
        </w:rPr>
        <w:t>与“异地市民化”相对，是指农民在乡村实现市民化，或者外出农民归返乡村实现市民化。</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22"/>
        </w:rPr>
        <w:t>三线一单：</w:t>
      </w:r>
      <w:r>
        <w:rPr>
          <w:rFonts w:hint="eastAsia" w:ascii="Times New Roman" w:hAnsi="Times New Roman" w:eastAsia="方正仿宋_GBK" w:cs="Times New Roman"/>
          <w:sz w:val="32"/>
          <w:szCs w:val="22"/>
        </w:rPr>
        <w:t>指生态保护红线、环境质量底线、资源利用上线和生态环境准入清单。</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VOCS</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在环保意义上的定义，是指活泼的一类挥发性有机物，即会产生危害的那一类挥发性有机物。</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噪声敏感区：</w:t>
      </w:r>
      <w:r>
        <w:rPr>
          <w:rFonts w:hint="eastAsia" w:ascii="Times New Roman" w:hAnsi="Times New Roman" w:eastAsia="方正仿宋_GBK" w:cs="Times New Roman"/>
          <w:sz w:val="32"/>
          <w:szCs w:val="32"/>
        </w:rPr>
        <w:t>即噪声敏感建筑物集中区域，指居民住宅周边、公园内外、医疗区附近、写字楼办公区、文教科研区和以机关办公点为主的区域。</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“一岗双责”“党政同责”：</w:t>
      </w:r>
      <w:r>
        <w:rPr>
          <w:rFonts w:hint="eastAsia" w:ascii="Times New Roman" w:hAnsi="Times New Roman" w:eastAsia="方正仿宋_GBK" w:cs="Times New Roman"/>
          <w:sz w:val="32"/>
          <w:szCs w:val="32"/>
        </w:rPr>
        <w:t>是安全生产领域的一项原则，现在中央把这一原则延伸到环保领域。指既要抓好分管的业务工作，又要以同等的注意力抓好分管部门的党风廉政建设，把反腐倡廉、案件防范工作与业务工作同研究、同规划、同布置、同检查、同考核、同问责，真正做到“两手抓、两手硬”，使党风廉政建设和反腐败工作始终保持应有的力度。</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双随机、一公开：</w:t>
      </w:r>
      <w:r>
        <w:rPr>
          <w:rFonts w:hint="eastAsia" w:ascii="Times New Roman" w:hAnsi="Times New Roman" w:eastAsia="方正仿宋_GBK" w:cs="Times New Roman"/>
          <w:sz w:val="32"/>
          <w:szCs w:val="32"/>
        </w:rPr>
        <w:t>即在监管过程中随机抽取检查对象，随机选派执法检查人员，抽查情况及查处结果及时向社会公开。“</w:t>
      </w:r>
      <w:r>
        <w:rPr>
          <w:rFonts w:ascii="Times New Roman" w:hAnsi="Times New Roman" w:eastAsia="方正仿宋_GBK" w:cs="Times New Roman"/>
          <w:sz w:val="32"/>
          <w:szCs w:val="32"/>
        </w:rPr>
        <w:t>双随机、一公开</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是国务院办公厅于2015年8月发布的《国务院办公厅关于推广随机抽查规范事中事后监管的通知》中要求在全国全面推行的一种监管模式。</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“数据壁垒”：</w:t>
      </w:r>
      <w:r>
        <w:rPr>
          <w:rFonts w:hint="eastAsia" w:ascii="Times New Roman" w:hAnsi="Times New Roman" w:eastAsia="方正仿宋_GBK" w:cs="Times New Roman"/>
          <w:sz w:val="32"/>
          <w:szCs w:val="32"/>
        </w:rPr>
        <w:t>指政务大数据共享的各种阻碍因素，包括体制壁垒、管理壁垒、法律制度壁垒、技术壁垒、</w:t>
      </w:r>
      <w:r>
        <w:rPr>
          <w:rFonts w:hint="eastAsia" w:ascii="Times New Roman" w:hAnsi="Times New Roman" w:eastAsia="方正仿宋_GBK" w:cs="Times New Roman"/>
          <w:sz w:val="32"/>
          <w:szCs w:val="32"/>
          <w:lang w:eastAsia="zh-CN"/>
        </w:rPr>
        <w:t>心理</w:t>
      </w:r>
      <w:r>
        <w:rPr>
          <w:rFonts w:hint="eastAsia" w:ascii="Times New Roman" w:hAnsi="Times New Roman" w:eastAsia="方正仿宋_GBK" w:cs="Times New Roman"/>
          <w:sz w:val="32"/>
          <w:szCs w:val="32"/>
        </w:rPr>
        <w:t>壁垒等，导致政务数据无法实现开放共享。</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“信息孤岛”：</w:t>
      </w:r>
      <w:r>
        <w:rPr>
          <w:rFonts w:hint="eastAsia" w:ascii="Times New Roman" w:hAnsi="Times New Roman" w:eastAsia="方正仿宋_GBK" w:cs="Times New Roman"/>
          <w:sz w:val="32"/>
          <w:szCs w:val="32"/>
        </w:rPr>
        <w:t>在一</w:t>
      </w:r>
      <w:r>
        <w:rPr>
          <w:rFonts w:ascii="Times New Roman" w:hAnsi="Times New Roman" w:eastAsia="方正仿宋_GBK" w:cs="Times New Roman"/>
          <w:sz w:val="32"/>
          <w:szCs w:val="32"/>
        </w:rPr>
        <w:t>个单位的各个部门之间由于种种原因造成部门与部门之间完全孤立，各种信息（如财务信息、各种计划信息等）无法或者无法顺畅地在部门与部门之间流动。</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“实体经济十条”：</w:t>
      </w:r>
      <w:r>
        <w:rPr>
          <w:rFonts w:hint="eastAsia" w:ascii="Times New Roman" w:hAnsi="Times New Roman" w:eastAsia="方正仿宋_GBK" w:cs="Times New Roman"/>
          <w:sz w:val="32"/>
          <w:szCs w:val="32"/>
        </w:rPr>
        <w:t>广东省、河源市分别在降低企业税收负担、降低企业用地成本、降低企业社会保险成本、降低企业用电成本、降低企业运输成本、降低企业融资成本、降低企业制度性交易成本、支持工业企业盘活土地资源提高利用率、支持制造业高质量发展、加大重大产业项目支持力度等</w:t>
      </w:r>
      <w:r>
        <w:rPr>
          <w:rFonts w:ascii="Times New Roman" w:hAnsi="Times New Roman" w:eastAsia="方正仿宋_GBK" w:cs="Times New Roman"/>
          <w:sz w:val="32"/>
          <w:szCs w:val="32"/>
        </w:rPr>
        <w:t>10个方面出台的政策。</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“民营经济十条”：</w:t>
      </w:r>
      <w:r>
        <w:rPr>
          <w:rFonts w:hint="eastAsia" w:ascii="Times New Roman" w:hAnsi="Times New Roman" w:eastAsia="方正仿宋_GBK" w:cs="Times New Roman"/>
          <w:sz w:val="32"/>
          <w:szCs w:val="32"/>
        </w:rPr>
        <w:t>河源市拟在优化行政审批服务、释放民间投资活力、降低生产经营成本、改善企业融资环境、推进企业高质量发展、健全企业公共服务、提升企业队伍素质、保护民企合法权益、弘扬企业家精神、构建亲清新型政商关系等</w:t>
      </w:r>
      <w:r>
        <w:rPr>
          <w:rFonts w:ascii="Times New Roman" w:hAnsi="Times New Roman" w:eastAsia="方正仿宋_GBK" w:cs="Times New Roman"/>
          <w:sz w:val="32"/>
          <w:szCs w:val="32"/>
        </w:rPr>
        <w:t>10个方面出台的政策。</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一约四会：</w:t>
      </w:r>
      <w:r>
        <w:rPr>
          <w:rFonts w:hint="eastAsia" w:ascii="Times New Roman" w:hAnsi="Times New Roman" w:eastAsia="方正仿宋_GBK" w:cs="Times New Roman"/>
          <w:sz w:val="32"/>
          <w:szCs w:val="32"/>
        </w:rPr>
        <w:t>即村规民约、道德评议会、红白理事会、村民议事会和禁毒禁赌会。</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三馆：</w:t>
      </w:r>
      <w:r>
        <w:rPr>
          <w:rFonts w:hint="eastAsia" w:ascii="Times New Roman" w:hAnsi="Times New Roman" w:eastAsia="方正仿宋_GBK" w:cs="Times New Roman"/>
          <w:sz w:val="32"/>
          <w:szCs w:val="32"/>
        </w:rPr>
        <w:t>即新区博物馆、文化馆、图书馆。</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五纳入：</w:t>
      </w:r>
      <w:r>
        <w:rPr>
          <w:rFonts w:ascii="Times New Roman" w:hAnsi="Times New Roman" w:eastAsia="方正仿宋_GBK" w:cs="Times New Roman"/>
          <w:sz w:val="32"/>
          <w:szCs w:val="32"/>
        </w:rPr>
        <w:t>1997年，国务院发布《关于加强和改善文物工作的通知》（国发[1997]13号），要求各地、各部门将文物保护纳入经济和社会发展计划，纳入城乡建设规划，纳入财政预算，纳入体制改革，纳入各级领导责任制，把各级政府保护文物的责任进一步具体化。</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医教结合</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指对学龄前期</w:t>
      </w:r>
      <w:r>
        <w:rPr>
          <w:rFonts w:ascii="Times New Roman" w:hAnsi="Times New Roman" w:eastAsia="方正仿宋_GBK" w:cs="Times New Roman"/>
          <w:sz w:val="32"/>
          <w:szCs w:val="32"/>
        </w:rPr>
        <w:t>(0～6岁)的特殊儿童，根据其身心发展的特点，通过教育、训练、医疗和康复综合的方法，在家庭和社会影响下对其所进行的补偿与补救性教育。</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八个统一：</w:t>
      </w:r>
      <w:r>
        <w:rPr>
          <w:rFonts w:hint="eastAsia" w:ascii="Times New Roman" w:hAnsi="Times New Roman" w:eastAsia="方正仿宋_GBK" w:cs="Times New Roman"/>
          <w:sz w:val="32"/>
          <w:szCs w:val="32"/>
        </w:rPr>
        <w:t>在学校思想政治理论课教师座谈会上，习近平总书记提出“八个统一”的具体要求，坚持政治性和学理性相统一，坚持价值性和知识性相统一，坚持建设性和批判性相统一，坚持理论性和实践性相统一，坚持统一性和多样性相统一，坚持主导性和主体性相统一，坚持灌输性和启发性相统一，坚持显性教育和隐性教育相统一。</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双一流：</w:t>
      </w:r>
      <w:r>
        <w:rPr>
          <w:rFonts w:hint="eastAsia" w:ascii="Times New Roman" w:hAnsi="Times New Roman" w:eastAsia="方正仿宋_GBK" w:cs="Times New Roman"/>
          <w:sz w:val="32"/>
          <w:szCs w:val="32"/>
        </w:rPr>
        <w:t>世界一流大学和一流学科建设。</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三名工作室：</w:t>
      </w:r>
      <w:r>
        <w:rPr>
          <w:rFonts w:hint="eastAsia" w:ascii="Times New Roman" w:hAnsi="Times New Roman" w:eastAsia="方正仿宋_GBK" w:cs="Times New Roman"/>
          <w:sz w:val="32"/>
          <w:szCs w:val="32"/>
        </w:rPr>
        <w:t>名教师、名校长（名园长）工作室，参考自《广东省中小学名教师、名校（园）长工作室建设与管理办法》。</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两场一馆一池：</w:t>
      </w:r>
      <w:r>
        <w:rPr>
          <w:rFonts w:hint="eastAsia" w:ascii="Times New Roman" w:hAnsi="Times New Roman" w:eastAsia="方正仿宋_GBK" w:cs="Times New Roman"/>
          <w:sz w:val="32"/>
          <w:szCs w:val="32"/>
        </w:rPr>
        <w:t>全民健身广场、体育场、体育馆、游泳池。</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“两癌”：</w:t>
      </w:r>
      <w:r>
        <w:rPr>
          <w:rFonts w:hint="eastAsia" w:ascii="Times New Roman" w:hAnsi="Times New Roman" w:eastAsia="方正仿宋_GBK" w:cs="Times New Roman"/>
          <w:sz w:val="32"/>
          <w:szCs w:val="32"/>
        </w:rPr>
        <w:t>指乳腺癌和宫颈癌。</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基层维稳“结亲连心”活动：</w:t>
      </w:r>
      <w:r>
        <w:rPr>
          <w:rFonts w:hint="eastAsia" w:ascii="Times New Roman" w:hAnsi="Times New Roman" w:eastAsia="方正仿宋_GBK" w:cs="Times New Roman"/>
          <w:sz w:val="32"/>
          <w:szCs w:val="32"/>
        </w:rPr>
        <w:t>镇（街）、村（居）两级干部与涉稳重点人结为“亲戚”关系，结亲干部通过实施“相亲、定亲、走亲、暖亲”四个步骤，化解各类社会矛盾纠纷。</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四个革命、一个合作：</w:t>
      </w:r>
      <w:r>
        <w:rPr>
          <w:rFonts w:hint="eastAsia" w:ascii="Times New Roman" w:hAnsi="Times New Roman" w:eastAsia="方正仿宋_GBK" w:cs="Times New Roman"/>
          <w:sz w:val="32"/>
          <w:szCs w:val="32"/>
        </w:rPr>
        <w:t>2015年，中央财经领导小组召开第六次会议上，习近平总书记提出推动能源消费、能源供给、能源技术和能源体制四方面的“革命”，要全方位加强国际合作，实现开放条件下的能源安全。</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僵尸企业：</w:t>
      </w:r>
      <w:r>
        <w:rPr>
          <w:rFonts w:hint="eastAsia" w:ascii="Times New Roman" w:hAnsi="Times New Roman" w:eastAsia="方正仿宋_GBK" w:cs="Times New Roman"/>
          <w:sz w:val="32"/>
          <w:szCs w:val="32"/>
        </w:rPr>
        <w:t>指已停产、半停产、连年亏损、资不抵债，主要靠政府补贴和银行续贷维持生存和经营的企业。</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新时代“枫桥经验”：</w:t>
      </w:r>
      <w:r>
        <w:rPr>
          <w:rFonts w:ascii="Times New Roman" w:hAnsi="Times New Roman" w:eastAsia="方正仿宋_GBK" w:cs="Times New Roman"/>
          <w:sz w:val="32"/>
          <w:szCs w:val="32"/>
        </w:rPr>
        <w:t>20世纪60年代初，浙江省诸暨市枫桥镇干部群众创造的</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发动和依靠群众，坚持矛盾不上交，就地解决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实现捕人少，治安好</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的经验</w:t>
      </w:r>
      <w:r>
        <w:rPr>
          <w:rFonts w:hint="eastAsia" w:ascii="Times New Roman" w:hAnsi="Times New Roman" w:eastAsia="方正仿宋_GBK" w:cs="Times New Roman"/>
          <w:sz w:val="32"/>
          <w:szCs w:val="32"/>
        </w:rPr>
        <w:t>；2020年</w:t>
      </w:r>
      <w:r>
        <w:rPr>
          <w:rFonts w:ascii="Times New Roman" w:hAnsi="Times New Roman" w:eastAsia="方正仿宋_GBK" w:cs="Times New Roman"/>
          <w:sz w:val="32"/>
          <w:szCs w:val="32"/>
        </w:rPr>
        <w:t>4月，习主席在陕西考察时指出，要加强和创新社会治理，坚持和完善新时代“枫桥经验”。</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飓风行动：</w:t>
      </w:r>
      <w:r>
        <w:rPr>
          <w:rFonts w:hint="eastAsia" w:ascii="Times New Roman" w:hAnsi="Times New Roman" w:eastAsia="方正仿宋_GBK" w:cs="Times New Roman"/>
          <w:sz w:val="32"/>
          <w:szCs w:val="32"/>
        </w:rPr>
        <w:t>是</w:t>
      </w:r>
      <w:r>
        <w:rPr>
          <w:rFonts w:ascii="Times New Roman" w:hAnsi="Times New Roman" w:eastAsia="方正仿宋_GBK" w:cs="Times New Roman"/>
          <w:sz w:val="32"/>
          <w:szCs w:val="32"/>
        </w:rPr>
        <w:t>全省公安机关打击突出刑事犯罪专项行动，重点打击整治枪爆、电信网络诈骗、盗抢骗等多发性侵财犯罪以及涉黄赌和食药环犯罪，着力推进刑侦基础和追逃工作。</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w:t>
      </w:r>
      <w:r>
        <w:rPr>
          <w:rFonts w:ascii="Times New Roman" w:hAnsi="Times New Roman" w:eastAsia="方正仿宋_GBK" w:cs="Times New Roman"/>
          <w:b/>
          <w:bCs/>
          <w:sz w:val="32"/>
          <w:szCs w:val="32"/>
        </w:rPr>
        <w:t>雪亮工程</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以县、乡、村三级综治中心为指挥平台、以综治信息化为支撑、以网格化管理为基础、以公共安全视频监控联网应用为重点的群众性治安防控工程。</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w:t>
      </w:r>
      <w:r>
        <w:rPr>
          <w:rFonts w:ascii="Times New Roman" w:hAnsi="Times New Roman" w:eastAsia="方正仿宋_GBK" w:cs="Times New Roman"/>
          <w:b/>
          <w:bCs/>
          <w:sz w:val="32"/>
          <w:szCs w:val="32"/>
        </w:rPr>
        <w:t>智慧新警务</w:t>
      </w:r>
      <w:r>
        <w:rPr>
          <w:rFonts w:hint="eastAsia" w:ascii="Times New Roman" w:hAnsi="Times New Roman" w:eastAsia="方正仿宋_GBK" w:cs="Times New Roman"/>
          <w:b/>
          <w:bCs/>
          <w:sz w:val="32"/>
          <w:szCs w:val="32"/>
        </w:rPr>
        <w:t>”：</w:t>
      </w:r>
      <w:r>
        <w:rPr>
          <w:rFonts w:hint="eastAsia" w:ascii="Times New Roman" w:hAnsi="Times New Roman" w:eastAsia="方正仿宋_GBK" w:cs="Times New Roman"/>
          <w:sz w:val="32"/>
          <w:szCs w:val="32"/>
        </w:rPr>
        <w:t>通过警企合作模式、借力高科技“外脑”，提升警务工作智能化水平。</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“五星”平安村（社区）：</w:t>
      </w:r>
      <w:r>
        <w:rPr>
          <w:rFonts w:hint="eastAsia" w:ascii="Times New Roman" w:hAnsi="Times New Roman" w:eastAsia="方正仿宋_GBK" w:cs="Times New Roman"/>
          <w:sz w:val="32"/>
          <w:szCs w:val="32"/>
        </w:rPr>
        <w:t>防范控制星、遵纪守法星、和谐科技星、和睦互助星和安全生产星。</w:t>
      </w:r>
    </w:p>
    <w:p>
      <w:pPr>
        <w:adjustRightInd w:val="0"/>
        <w:snapToGrid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安全宣传“五进”：</w:t>
      </w:r>
      <w:r>
        <w:rPr>
          <w:rFonts w:hint="eastAsia" w:ascii="Times New Roman" w:hAnsi="Times New Roman" w:eastAsia="方正仿宋_GBK" w:cs="Times New Roman"/>
          <w:sz w:val="32"/>
          <w:szCs w:val="32"/>
        </w:rPr>
        <w:t>2020年5月6日，国务院安委办</w:t>
      </w:r>
      <w:r>
        <w:rPr>
          <w:rFonts w:ascii="Times New Roman" w:hAnsi="Times New Roman" w:eastAsia="方正仿宋_GBK" w:cs="Times New Roman"/>
          <w:sz w:val="32"/>
          <w:szCs w:val="32"/>
        </w:rPr>
        <w:t xml:space="preserve"> 应急管理部联合印发《推进安全宣传</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五进</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工作方案》</w:t>
      </w:r>
      <w:r>
        <w:rPr>
          <w:rFonts w:hint="eastAsia" w:ascii="Times New Roman" w:hAnsi="Times New Roman" w:eastAsia="方正仿宋_GBK" w:cs="Times New Roman"/>
          <w:sz w:val="32"/>
          <w:szCs w:val="32"/>
        </w:rPr>
        <w:t>，提出要扎实推进安全宣传进企业、进农村、进社区、进学校、进家庭，进一步提高全社会整体安全水平。</w:t>
      </w: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pStyle w:val="2"/>
        <w:rPr>
          <w:rFonts w:ascii="Times New Roman" w:hAnsi="Times New Roman"/>
        </w:rPr>
      </w:pPr>
    </w:p>
    <w:p>
      <w:pPr>
        <w:rPr>
          <w:rFonts w:ascii="Times New Roman" w:hAnsi="Times New Roman"/>
        </w:rPr>
      </w:pPr>
    </w:p>
    <w:p>
      <w:pPr>
        <w:spacing w:before="156" w:beforeLines="50" w:line="500" w:lineRule="exact"/>
        <w:rPr>
          <w:rFonts w:ascii="黑体" w:hAnsi="黑体" w:eastAsia="黑体" w:cs="黑体"/>
          <w:kern w:val="0"/>
          <w:sz w:val="32"/>
          <w:szCs w:val="32"/>
          <w:lang w:bidi="ar"/>
        </w:rPr>
      </w:pPr>
      <w:r>
        <w:rPr>
          <w:rFonts w:hint="eastAsia" w:ascii="黑体" w:hAnsi="黑体" w:eastAsia="黑体" w:cs="黑体"/>
          <w:kern w:val="0"/>
          <w:sz w:val="32"/>
          <w:szCs w:val="32"/>
          <w:lang w:bidi="ar"/>
        </w:rPr>
        <w:t>附件2</w:t>
      </w:r>
    </w:p>
    <w:p>
      <w:pPr>
        <w:pStyle w:val="2"/>
      </w:pPr>
    </w:p>
    <w:p>
      <w:pPr>
        <w:spacing w:before="156" w:beforeLines="50" w:line="500" w:lineRule="exact"/>
        <w:jc w:val="center"/>
        <w:rPr>
          <w:rFonts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河源江东新区“十四五”重点专项规划</w:t>
      </w:r>
    </w:p>
    <w:p>
      <w:pPr>
        <w:spacing w:before="156" w:beforeLines="50" w:line="500" w:lineRule="exact"/>
        <w:jc w:val="center"/>
        <w:rPr>
          <w:rFonts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目录清单</w:t>
      </w:r>
    </w:p>
    <w:p>
      <w:pPr>
        <w:spacing w:line="580" w:lineRule="exact"/>
        <w:jc w:val="center"/>
        <w:rPr>
          <w:rFonts w:ascii="方正小标宋简体" w:hAnsi="方正小标宋简体" w:eastAsia="方正小标宋简体" w:cs="方正小标宋简体"/>
          <w:kern w:val="0"/>
          <w:sz w:val="36"/>
          <w:szCs w:val="36"/>
          <w:lang w:bidi="ar"/>
        </w:rPr>
      </w:pPr>
    </w:p>
    <w:tbl>
      <w:tblPr>
        <w:tblStyle w:val="10"/>
        <w:tblW w:w="4997" w:type="pct"/>
        <w:tblInd w:w="0" w:type="dxa"/>
        <w:tblLayout w:type="autofit"/>
        <w:tblCellMar>
          <w:top w:w="15" w:type="dxa"/>
          <w:left w:w="15" w:type="dxa"/>
          <w:bottom w:w="15" w:type="dxa"/>
          <w:right w:w="15" w:type="dxa"/>
        </w:tblCellMar>
      </w:tblPr>
      <w:tblGrid>
        <w:gridCol w:w="640"/>
        <w:gridCol w:w="6027"/>
        <w:gridCol w:w="2202"/>
      </w:tblGrid>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nil"/>
              <w:right w:val="single" w:color="000000" w:sz="4" w:space="0"/>
            </w:tcBorders>
            <w:shd w:val="clear" w:color="auto" w:fill="auto"/>
            <w:vAlign w:val="center"/>
          </w:tcPr>
          <w:p>
            <w:pPr>
              <w:spacing w:line="360" w:lineRule="exact"/>
              <w:jc w:val="center"/>
              <w:rPr>
                <w:rFonts w:ascii="方正黑体简体" w:hAnsi="方正黑体简体" w:eastAsia="方正黑体简体" w:cs="方正黑体简体"/>
                <w:kern w:val="0"/>
                <w:sz w:val="24"/>
              </w:rPr>
            </w:pPr>
            <w:r>
              <w:rPr>
                <w:rFonts w:hint="eastAsia" w:ascii="方正黑体简体" w:hAnsi="方正黑体简体" w:eastAsia="方正黑体简体" w:cs="方正黑体简体"/>
                <w:kern w:val="0"/>
                <w:sz w:val="24"/>
                <w:lang w:bidi="ar"/>
              </w:rPr>
              <w:t>序号</w:t>
            </w:r>
          </w:p>
        </w:tc>
        <w:tc>
          <w:tcPr>
            <w:tcW w:w="3396" w:type="pct"/>
            <w:tcBorders>
              <w:top w:val="single" w:color="000000" w:sz="4" w:space="0"/>
              <w:left w:val="nil"/>
              <w:bottom w:val="nil"/>
              <w:right w:val="single" w:color="000000" w:sz="4" w:space="0"/>
            </w:tcBorders>
            <w:shd w:val="clear" w:color="auto" w:fill="auto"/>
            <w:vAlign w:val="center"/>
          </w:tcPr>
          <w:p>
            <w:pPr>
              <w:spacing w:line="360" w:lineRule="exact"/>
              <w:jc w:val="center"/>
              <w:rPr>
                <w:rFonts w:ascii="方正黑体简体" w:hAnsi="方正黑体简体" w:eastAsia="方正黑体简体" w:cs="方正黑体简体"/>
                <w:kern w:val="0"/>
                <w:sz w:val="24"/>
              </w:rPr>
            </w:pPr>
            <w:r>
              <w:rPr>
                <w:rFonts w:hint="eastAsia" w:ascii="方正黑体简体" w:hAnsi="方正黑体简体" w:eastAsia="方正黑体简体" w:cs="方正黑体简体"/>
                <w:kern w:val="0"/>
                <w:sz w:val="24"/>
                <w:lang w:bidi="ar"/>
              </w:rPr>
              <w:t>规划名称</w:t>
            </w:r>
          </w:p>
        </w:tc>
        <w:tc>
          <w:tcPr>
            <w:tcW w:w="1241" w:type="pct"/>
            <w:tcBorders>
              <w:top w:val="single" w:color="000000" w:sz="4" w:space="0"/>
              <w:left w:val="nil"/>
              <w:bottom w:val="nil"/>
              <w:right w:val="single" w:color="000000" w:sz="4" w:space="0"/>
            </w:tcBorders>
            <w:shd w:val="clear" w:color="auto" w:fill="auto"/>
            <w:vAlign w:val="center"/>
          </w:tcPr>
          <w:p>
            <w:pPr>
              <w:spacing w:line="360" w:lineRule="exact"/>
              <w:jc w:val="center"/>
              <w:rPr>
                <w:rFonts w:ascii="方正黑体简体" w:hAnsi="方正黑体简体" w:eastAsia="方正黑体简体" w:cs="方正黑体简体"/>
                <w:kern w:val="0"/>
                <w:sz w:val="24"/>
              </w:rPr>
            </w:pPr>
            <w:r>
              <w:rPr>
                <w:rFonts w:hint="eastAsia" w:ascii="方正黑体简体" w:hAnsi="方正黑体简体" w:eastAsia="方正黑体简体" w:cs="方正黑体简体"/>
                <w:kern w:val="0"/>
                <w:sz w:val="24"/>
                <w:lang w:bidi="ar"/>
              </w:rPr>
              <w:t>牵头单位</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1</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河源江东新区基本公共服务“十四五”规划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新区发展财政局</w:t>
            </w:r>
          </w:p>
        </w:tc>
      </w:tr>
      <w:tr>
        <w:tblPrEx>
          <w:tblCellMar>
            <w:top w:w="15" w:type="dxa"/>
            <w:left w:w="15" w:type="dxa"/>
            <w:bottom w:w="15" w:type="dxa"/>
            <w:right w:w="15" w:type="dxa"/>
          </w:tblCellMar>
        </w:tblPrEx>
        <w:trPr>
          <w:trHeight w:val="544"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2</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河源江东新区人口发展“十四五”规划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新区发展财政局</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3</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河源江东新区能源发展“十四五”规划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新区发展财政局</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4</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河源江东新区科技创新“十四五”规划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新区经济促进局</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5</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河源江东新区产业“十四五”规划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新区经济促进局</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6</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河源江东新区政务信息化“十四五”发展规划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新区经济促进局</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7</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河源江东新区农村现代化（含农业和水利发展）“十四五”</w:t>
            </w:r>
          </w:p>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新区农林水务局</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8</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河源江东新区林地保护利用规划（2021-2030年）</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新区农林水务局</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9</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河源江东新区自然保护地发展规划（2021～2035年）</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新区农林水务局</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10</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河源江东新区人力资源和社会保障事业（含医疗保障）发展</w:t>
            </w:r>
          </w:p>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“十四五”规划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新区组织人事和社会保障局</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11</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河源江东新区社会事业发展“十四五”规划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新区社会事务局</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12</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河源江东新区应急管理（含消防）“十四五”规划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新区应急管理局</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13</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河源江东新区综合交通运输体系发展“十四五”规划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新区交通办公室</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14</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_GB2312" w:hAnsi="仿宋_GB2312" w:eastAsia="仿宋_GB2312" w:cs="仿宋_GB2312"/>
                <w:szCs w:val="21"/>
                <w:lang w:bidi="ar"/>
              </w:rPr>
            </w:pPr>
            <w:r>
              <w:rPr>
                <w:rFonts w:hint="eastAsia" w:ascii="仿宋_GB2312" w:hAnsi="仿宋_GB2312" w:eastAsia="仿宋_GB2312" w:cs="仿宋_GB2312"/>
                <w:color w:val="000000"/>
                <w:kern w:val="0"/>
                <w:sz w:val="22"/>
                <w:szCs w:val="22"/>
                <w:lang w:bidi="ar"/>
              </w:rPr>
              <w:t>河源江东新区生态文明建设“十四五”规划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新区生态环境办公室</w:t>
            </w:r>
          </w:p>
        </w:tc>
      </w:tr>
      <w:tr>
        <w:tblPrEx>
          <w:tblCellMar>
            <w:top w:w="15" w:type="dxa"/>
            <w:left w:w="15" w:type="dxa"/>
            <w:bottom w:w="15" w:type="dxa"/>
            <w:right w:w="15" w:type="dxa"/>
          </w:tblCellMar>
        </w:tblPrEx>
        <w:trPr>
          <w:trHeight w:val="539" w:hRule="atLeast"/>
        </w:trPr>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15</w:t>
            </w:r>
          </w:p>
        </w:tc>
        <w:tc>
          <w:tcPr>
            <w:tcW w:w="3396"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left"/>
              <w:rPr>
                <w:rFonts w:ascii="仿宋_GB2312" w:hAnsi="仿宋_GB2312" w:eastAsia="仿宋_GB2312" w:cs="仿宋_GB2312"/>
                <w:szCs w:val="21"/>
                <w:lang w:bidi="ar"/>
              </w:rPr>
            </w:pPr>
            <w:r>
              <w:rPr>
                <w:rFonts w:hint="eastAsia" w:ascii="仿宋_GB2312" w:hAnsi="仿宋_GB2312" w:eastAsia="仿宋_GB2312" w:cs="仿宋_GB2312"/>
                <w:sz w:val="22"/>
                <w:szCs w:val="22"/>
                <w:lang w:bidi="ar"/>
              </w:rPr>
              <w:t>河源江东新区市场监管（含食品药品安全）“十四五”规划</w:t>
            </w:r>
          </w:p>
        </w:tc>
        <w:tc>
          <w:tcPr>
            <w:tcW w:w="1241" w:type="pct"/>
            <w:tcBorders>
              <w:top w:val="single" w:color="000000" w:sz="4" w:space="0"/>
              <w:left w:val="nil"/>
              <w:bottom w:val="single" w:color="000000" w:sz="4" w:space="0"/>
              <w:right w:val="single" w:color="000000" w:sz="4" w:space="0"/>
            </w:tcBorders>
            <w:shd w:val="clear" w:color="auto" w:fill="auto"/>
            <w:vAlign w:val="center"/>
          </w:tcPr>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市市场监管局江东</w:t>
            </w:r>
          </w:p>
          <w:p>
            <w:pPr>
              <w:spacing w:line="360" w:lineRule="exact"/>
              <w:jc w:val="center"/>
              <w:rPr>
                <w:rFonts w:ascii="仿宋_GB2312" w:hAnsi="仿宋_GB2312" w:eastAsia="仿宋_GB2312" w:cs="仿宋_GB2312"/>
                <w:sz w:val="24"/>
                <w:lang w:bidi="ar"/>
              </w:rPr>
            </w:pPr>
            <w:r>
              <w:rPr>
                <w:rFonts w:hint="eastAsia" w:ascii="仿宋_GB2312" w:hAnsi="仿宋_GB2312" w:eastAsia="仿宋_GB2312" w:cs="仿宋_GB2312"/>
                <w:sz w:val="24"/>
                <w:lang w:bidi="ar"/>
              </w:rPr>
              <w:t>新区分局</w:t>
            </w:r>
          </w:p>
        </w:tc>
      </w:tr>
    </w:tbl>
    <w:p>
      <w:pPr>
        <w:pStyle w:val="2"/>
      </w:pPr>
    </w:p>
    <w:p>
      <w:pPr>
        <w:spacing w:before="156" w:beforeLines="50" w:line="500" w:lineRule="exact"/>
        <w:rPr>
          <w:rFonts w:ascii="黑体" w:hAnsi="黑体" w:eastAsia="黑体" w:cs="黑体"/>
          <w:kern w:val="0"/>
          <w:sz w:val="32"/>
          <w:szCs w:val="32"/>
          <w:lang w:bidi="ar"/>
        </w:rPr>
      </w:pPr>
      <w:r>
        <w:rPr>
          <w:rFonts w:hint="eastAsia" w:ascii="黑体" w:hAnsi="黑体" w:eastAsia="黑体" w:cs="黑体"/>
          <w:kern w:val="0"/>
          <w:sz w:val="32"/>
          <w:szCs w:val="32"/>
          <w:lang w:bidi="ar"/>
        </w:rPr>
        <w:t>附件3</w:t>
      </w:r>
    </w:p>
    <w:p>
      <w:pPr>
        <w:pStyle w:val="2"/>
      </w:pPr>
    </w:p>
    <w:p>
      <w:pPr>
        <w:spacing w:before="156" w:beforeLines="50" w:line="580" w:lineRule="exact"/>
        <w:jc w:val="center"/>
        <w:rPr>
          <w:rFonts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河源市“十四五”规划重大建设项目汇总表</w:t>
      </w:r>
    </w:p>
    <w:p>
      <w:pPr>
        <w:pStyle w:val="2"/>
      </w:pPr>
    </w:p>
    <w:p>
      <w:pPr>
        <w:pStyle w:val="2"/>
        <w:ind w:firstLine="400"/>
        <w:jc w:val="right"/>
        <w:rPr>
          <w:rFonts w:hint="eastAsia" w:ascii="仿宋" w:hAnsi="仿宋" w:eastAsia="仿宋" w:cs="仿宋"/>
          <w:kern w:val="0"/>
          <w:sz w:val="22"/>
          <w:szCs w:val="22"/>
          <w:lang w:bidi="ar"/>
        </w:rPr>
      </w:pPr>
      <w:r>
        <w:rPr>
          <w:rFonts w:hint="eastAsia" w:ascii="仿宋" w:hAnsi="仿宋" w:eastAsia="仿宋" w:cs="仿宋"/>
          <w:kern w:val="0"/>
          <w:sz w:val="22"/>
          <w:szCs w:val="22"/>
          <w:lang w:bidi="ar"/>
        </w:rPr>
        <w:t>投资单位：亿元</w:t>
      </w:r>
    </w:p>
    <w:p/>
    <w:tbl>
      <w:tblPr>
        <w:tblStyle w:val="10"/>
        <w:tblW w:w="8829" w:type="dxa"/>
        <w:tblInd w:w="0" w:type="dxa"/>
        <w:tblLayout w:type="autofit"/>
        <w:tblCellMar>
          <w:top w:w="0" w:type="dxa"/>
          <w:left w:w="57" w:type="dxa"/>
          <w:bottom w:w="0" w:type="dxa"/>
          <w:right w:w="57" w:type="dxa"/>
        </w:tblCellMar>
      </w:tblPr>
      <w:tblGrid>
        <w:gridCol w:w="679"/>
        <w:gridCol w:w="3975"/>
        <w:gridCol w:w="1256"/>
        <w:gridCol w:w="1481"/>
        <w:gridCol w:w="1438"/>
      </w:tblGrid>
      <w:tr>
        <w:tblPrEx>
          <w:tblCellMar>
            <w:top w:w="0" w:type="dxa"/>
            <w:left w:w="57" w:type="dxa"/>
            <w:bottom w:w="0" w:type="dxa"/>
            <w:right w:w="57" w:type="dxa"/>
          </w:tblCellMar>
        </w:tblPrEx>
        <w:trPr>
          <w:trHeight w:val="680" w:hRule="atLeast"/>
          <w:tblHeader/>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textAlignment w:val="center"/>
              <w:rPr>
                <w:rFonts w:ascii="方正黑体简体" w:hAnsi="方正黑体简体" w:eastAsia="方正黑体简体" w:cs="方正黑体简体"/>
                <w:sz w:val="20"/>
                <w:szCs w:val="20"/>
              </w:rPr>
            </w:pPr>
            <w:r>
              <w:rPr>
                <w:rFonts w:hint="eastAsia" w:ascii="方正黑体简体" w:hAnsi="方正黑体简体" w:eastAsia="方正黑体简体" w:cs="方正黑体简体"/>
                <w:kern w:val="0"/>
                <w:sz w:val="20"/>
                <w:szCs w:val="20"/>
                <w:lang w:bidi="ar"/>
              </w:rPr>
              <w:t>序号</w:t>
            </w: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textAlignment w:val="center"/>
              <w:rPr>
                <w:rFonts w:ascii="方正黑体简体" w:hAnsi="方正黑体简体" w:eastAsia="方正黑体简体" w:cs="方正黑体简体"/>
                <w:sz w:val="20"/>
                <w:szCs w:val="20"/>
              </w:rPr>
            </w:pPr>
            <w:r>
              <w:rPr>
                <w:rFonts w:hint="eastAsia" w:ascii="方正黑体简体" w:hAnsi="方正黑体简体" w:eastAsia="方正黑体简体" w:cs="方正黑体简体"/>
                <w:kern w:val="0"/>
                <w:sz w:val="20"/>
                <w:szCs w:val="20"/>
                <w:lang w:bidi="ar"/>
              </w:rPr>
              <w:t>项目类型</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textAlignment w:val="center"/>
              <w:rPr>
                <w:rFonts w:ascii="方正黑体简体" w:hAnsi="方正黑体简体" w:eastAsia="方正黑体简体" w:cs="方正黑体简体"/>
                <w:sz w:val="20"/>
                <w:szCs w:val="20"/>
              </w:rPr>
            </w:pPr>
            <w:r>
              <w:rPr>
                <w:rFonts w:hint="eastAsia" w:ascii="方正黑体简体" w:hAnsi="方正黑体简体" w:eastAsia="方正黑体简体" w:cs="方正黑体简体"/>
                <w:kern w:val="0"/>
                <w:sz w:val="20"/>
                <w:szCs w:val="20"/>
                <w:lang w:bidi="ar"/>
              </w:rPr>
              <w:t>计划总投资</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textAlignment w:val="center"/>
              <w:rPr>
                <w:rFonts w:ascii="方正黑体简体" w:hAnsi="方正黑体简体" w:eastAsia="方正黑体简体" w:cs="方正黑体简体"/>
                <w:kern w:val="0"/>
                <w:sz w:val="20"/>
                <w:szCs w:val="20"/>
                <w:lang w:bidi="ar"/>
              </w:rPr>
            </w:pPr>
            <w:r>
              <w:rPr>
                <w:rFonts w:hint="eastAsia" w:ascii="方正黑体简体" w:hAnsi="方正黑体简体" w:eastAsia="方正黑体简体" w:cs="方正黑体简体"/>
                <w:kern w:val="0"/>
                <w:sz w:val="20"/>
                <w:szCs w:val="20"/>
                <w:lang w:bidi="ar"/>
              </w:rPr>
              <w:t>到2020年底</w:t>
            </w:r>
          </w:p>
          <w:p>
            <w:pPr>
              <w:widowControl/>
              <w:spacing w:line="240" w:lineRule="exact"/>
              <w:jc w:val="center"/>
              <w:textAlignment w:val="center"/>
              <w:rPr>
                <w:rFonts w:ascii="方正黑体简体" w:hAnsi="方正黑体简体" w:eastAsia="方正黑体简体" w:cs="方正黑体简体"/>
                <w:sz w:val="20"/>
                <w:szCs w:val="20"/>
              </w:rPr>
            </w:pPr>
            <w:r>
              <w:rPr>
                <w:rFonts w:hint="eastAsia" w:ascii="方正黑体简体" w:hAnsi="方正黑体简体" w:eastAsia="方正黑体简体" w:cs="方正黑体简体"/>
                <w:kern w:val="0"/>
                <w:sz w:val="20"/>
                <w:szCs w:val="20"/>
                <w:lang w:bidi="ar"/>
              </w:rPr>
              <w:t>累计完成投资</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240" w:lineRule="exact"/>
              <w:jc w:val="center"/>
              <w:textAlignment w:val="center"/>
              <w:rPr>
                <w:rFonts w:ascii="方正黑体简体" w:hAnsi="方正黑体简体" w:eastAsia="方正黑体简体" w:cs="方正黑体简体"/>
                <w:sz w:val="20"/>
                <w:szCs w:val="20"/>
              </w:rPr>
            </w:pPr>
            <w:r>
              <w:rPr>
                <w:rFonts w:hint="eastAsia" w:ascii="方正黑体简体" w:hAnsi="方正黑体简体" w:eastAsia="方正黑体简体" w:cs="方正黑体简体"/>
                <w:kern w:val="0"/>
                <w:sz w:val="20"/>
                <w:szCs w:val="20"/>
                <w:lang w:bidi="ar"/>
              </w:rPr>
              <w:t>“十四五”时期</w:t>
            </w:r>
            <w:r>
              <w:rPr>
                <w:rFonts w:hint="eastAsia" w:ascii="方正黑体简体" w:hAnsi="方正黑体简体" w:eastAsia="方正黑体简体" w:cs="方正黑体简体"/>
                <w:kern w:val="0"/>
                <w:sz w:val="20"/>
                <w:szCs w:val="20"/>
                <w:lang w:bidi="ar"/>
              </w:rPr>
              <w:br w:type="textWrapping"/>
            </w:r>
            <w:r>
              <w:rPr>
                <w:rFonts w:hint="eastAsia" w:ascii="方正黑体简体" w:hAnsi="方正黑体简体" w:eastAsia="方正黑体简体" w:cs="方正黑体简体"/>
                <w:kern w:val="0"/>
                <w:sz w:val="20"/>
                <w:szCs w:val="20"/>
                <w:lang w:bidi="ar"/>
              </w:rPr>
              <w:t>计划投资</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合计：129项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1735</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47</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651</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一</w:t>
            </w: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综合交通运输体系工程：13项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b/>
                <w:bCs/>
                <w:color w:val="000000"/>
                <w:kern w:val="0"/>
                <w:sz w:val="22"/>
                <w:szCs w:val="22"/>
                <w:lang w:val="en-US" w:eastAsia="zh-CN" w:bidi="ar"/>
              </w:rPr>
            </w:pPr>
            <w:r>
              <w:rPr>
                <w:rFonts w:hint="eastAsia" w:ascii="仿宋" w:hAnsi="仿宋" w:eastAsia="仿宋" w:cs="仿宋"/>
                <w:b/>
                <w:bCs/>
                <w:color w:val="000000"/>
                <w:kern w:val="0"/>
                <w:sz w:val="22"/>
                <w:szCs w:val="22"/>
                <w:lang w:bidi="ar"/>
              </w:rPr>
              <w:t>16</w:t>
            </w:r>
            <w:r>
              <w:rPr>
                <w:rFonts w:hint="eastAsia" w:ascii="仿宋" w:hAnsi="仿宋" w:eastAsia="仿宋" w:cs="仿宋"/>
                <w:b/>
                <w:bCs/>
                <w:color w:val="000000"/>
                <w:kern w:val="0"/>
                <w:sz w:val="22"/>
                <w:szCs w:val="22"/>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11</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152</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（一）轨道交通项目：0项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（二）公路项目：11项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bidi="ar"/>
              </w:rPr>
              <w:t>13</w:t>
            </w:r>
            <w:r>
              <w:rPr>
                <w:rFonts w:hint="eastAsia" w:ascii="仿宋" w:hAnsi="仿宋" w:eastAsia="仿宋" w:cs="仿宋"/>
                <w:color w:val="000000"/>
                <w:kern w:val="0"/>
                <w:sz w:val="22"/>
                <w:szCs w:val="22"/>
                <w:lang w:val="en-US" w:eastAsia="zh-CN" w:bidi="ar"/>
              </w:rPr>
              <w:t>7</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11</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126</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（三）机场工程：1项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20</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（四）港航工程：1项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6</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6</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二</w:t>
            </w: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生态环境建设领域工程：19项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33</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3</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b/>
                <w:bCs/>
                <w:color w:val="000000"/>
                <w:kern w:val="0"/>
                <w:sz w:val="22"/>
                <w:szCs w:val="22"/>
                <w:lang w:val="en-US" w:eastAsia="zh-CN" w:bidi="ar"/>
              </w:rPr>
            </w:pPr>
            <w:r>
              <w:rPr>
                <w:rFonts w:hint="eastAsia" w:ascii="仿宋" w:hAnsi="仿宋" w:eastAsia="仿宋" w:cs="仿宋"/>
                <w:b/>
                <w:bCs/>
                <w:color w:val="000000"/>
                <w:kern w:val="0"/>
                <w:sz w:val="22"/>
                <w:szCs w:val="22"/>
                <w:lang w:bidi="ar"/>
              </w:rPr>
              <w:t>2</w:t>
            </w:r>
            <w:r>
              <w:rPr>
                <w:rFonts w:hint="eastAsia" w:ascii="仿宋" w:hAnsi="仿宋" w:eastAsia="仿宋" w:cs="仿宋"/>
                <w:b/>
                <w:bCs/>
                <w:color w:val="000000"/>
                <w:kern w:val="0"/>
                <w:sz w:val="22"/>
                <w:szCs w:val="22"/>
                <w:lang w:val="en-US" w:eastAsia="zh-CN" w:bidi="ar"/>
              </w:rPr>
              <w:t>8</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（一）能源保障工程：0项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（二）水利工程：10项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17</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17</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（三）环保工程：9项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16</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11</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三</w:t>
            </w: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科技创新发展领域工程：3项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1001</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51</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（一）科技基础设施项目：1项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0.2</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0.2</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（二）重大区域发展平台项目：1项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0.5</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0.5</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（三）省级特色小镇项目：0项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（四）现代产业园项目：1项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1000</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50</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四</w:t>
            </w: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现代产业体系建设领域工程：36项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369</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16</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292</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（一）产业平台基础设施建设项目：7项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62</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4</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47</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（二）新型基础设施建设工程项目：1项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0.9</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0.9</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（三）电子信息工程项目：3项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14</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11</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（四）生物医学产业工程项目：4项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12</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0.6</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12</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（五）高端装备制造工程项目:7项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37</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0.5</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37</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（六）新材料产业工程项目：4项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27</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25</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（七）重化工业工程项目：0项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（八）传统产业升级工程项目：1项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（九）现代服务业工程项目：6项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83</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6</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77</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（十）旅游开发项目：3项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131</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81</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五</w:t>
            </w: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公共服务领域工程：58项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169</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17</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000000"/>
                <w:kern w:val="0"/>
                <w:sz w:val="22"/>
                <w:szCs w:val="22"/>
                <w:lang w:bidi="ar"/>
              </w:rPr>
            </w:pPr>
            <w:r>
              <w:rPr>
                <w:rFonts w:hint="eastAsia" w:ascii="仿宋" w:hAnsi="仿宋" w:eastAsia="仿宋" w:cs="仿宋"/>
                <w:b/>
                <w:bCs/>
                <w:color w:val="000000"/>
                <w:kern w:val="0"/>
                <w:sz w:val="22"/>
                <w:szCs w:val="22"/>
                <w:lang w:bidi="ar"/>
              </w:rPr>
              <w:t>128</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（一）城市公共基础设施项目：20项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96</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9</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63</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（二）住房保障建设项目：3项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23</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8</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15</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（三）教育项目：15项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30</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30</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（四）医疗卫生建设项目：5项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9</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9</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（五）文化体育项目：4项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7</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7</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（六）重要商品物资储备项目：0项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（七）应急保障工程项目：2项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bidi="ar"/>
              </w:rPr>
              <w:t>0.</w:t>
            </w:r>
            <w:r>
              <w:rPr>
                <w:rFonts w:hint="eastAsia" w:ascii="仿宋" w:hAnsi="仿宋" w:eastAsia="仿宋" w:cs="仿宋"/>
                <w:color w:val="000000"/>
                <w:kern w:val="0"/>
                <w:sz w:val="22"/>
                <w:szCs w:val="22"/>
                <w:lang w:val="en-US" w:eastAsia="zh-CN" w:bidi="ar"/>
              </w:rPr>
              <w:t>6</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bidi="ar"/>
              </w:rPr>
              <w:t>0.</w:t>
            </w:r>
            <w:r>
              <w:rPr>
                <w:rFonts w:hint="eastAsia" w:ascii="仿宋" w:hAnsi="仿宋" w:eastAsia="仿宋" w:cs="仿宋"/>
                <w:color w:val="000000"/>
                <w:kern w:val="0"/>
                <w:sz w:val="22"/>
                <w:szCs w:val="22"/>
                <w:lang w:val="en-US" w:eastAsia="zh-CN" w:bidi="ar"/>
              </w:rPr>
              <w:t>6</w:t>
            </w:r>
          </w:p>
        </w:tc>
      </w:tr>
      <w:tr>
        <w:tblPrEx>
          <w:tblCellMar>
            <w:top w:w="0" w:type="dxa"/>
            <w:left w:w="57" w:type="dxa"/>
            <w:bottom w:w="0" w:type="dxa"/>
            <w:right w:w="57" w:type="dxa"/>
          </w:tblCellMar>
        </w:tblPrEx>
        <w:trPr>
          <w:trHeight w:val="45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p>
        </w:tc>
        <w:tc>
          <w:tcPr>
            <w:tcW w:w="3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（八）公共安全保障项目：9项</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4</w:t>
            </w:r>
          </w:p>
        </w:tc>
        <w:tc>
          <w:tcPr>
            <w:tcW w:w="1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0</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4</w:t>
            </w:r>
          </w:p>
        </w:tc>
      </w:tr>
    </w:tbl>
    <w:p>
      <w:pPr>
        <w:widowControl/>
        <w:jc w:val="left"/>
        <w:textAlignment w:val="center"/>
        <w:rPr>
          <w:rFonts w:ascii="仿宋" w:hAnsi="仿宋" w:eastAsia="仿宋" w:cs="仿宋"/>
          <w:color w:val="000000"/>
          <w:kern w:val="0"/>
          <w:sz w:val="22"/>
          <w:szCs w:val="22"/>
          <w:lang w:bidi="ar"/>
        </w:rPr>
      </w:pPr>
    </w:p>
    <w:p>
      <w:pPr>
        <w:pStyle w:val="2"/>
      </w:pPr>
    </w:p>
    <w:sectPr>
      <w:footerReference r:id="rId14" w:type="default"/>
      <w:footerReference r:id="rId15" w:type="even"/>
      <w:pgSz w:w="11906" w:h="16838"/>
      <w:pgMar w:top="2098" w:right="1531" w:bottom="1701" w:left="153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028FC0C-D665-4E22-933A-F02F1FFDDA27}"/>
  </w:font>
  <w:font w:name="Arial">
    <w:panose1 w:val="020B0604020202020204"/>
    <w:charset w:val="01"/>
    <w:family w:val="swiss"/>
    <w:pitch w:val="default"/>
    <w:sig w:usb0="E0002AFF" w:usb1="C0007843" w:usb2="00000009" w:usb3="00000000" w:csb0="400001FF" w:csb1="FFFF0000"/>
    <w:embedRegular r:id="rId2" w:fontKey="{C99878DE-C272-454F-A42C-46CB71265E1F}"/>
  </w:font>
  <w:font w:name="黑体">
    <w:panose1 w:val="02010609060101010101"/>
    <w:charset w:val="86"/>
    <w:family w:val="auto"/>
    <w:pitch w:val="default"/>
    <w:sig w:usb0="800002BF" w:usb1="38CF7CFA" w:usb2="00000016" w:usb3="00000000" w:csb0="00040001" w:csb1="00000000"/>
    <w:embedRegular r:id="rId3" w:fontKey="{BDDEA5F8-0764-46B0-A221-E03809EA2945}"/>
  </w:font>
  <w:font w:name="Courier New">
    <w:panose1 w:val="02070309020205020404"/>
    <w:charset w:val="01"/>
    <w:family w:val="modern"/>
    <w:pitch w:val="default"/>
    <w:sig w:usb0="E0002AFF" w:usb1="C0007843" w:usb2="00000009" w:usb3="00000000" w:csb0="400001FF" w:csb1="FFFF0000"/>
    <w:embedRegular r:id="rId4" w:fontKey="{B1C7F028-2EAB-4983-9422-C1A69570065C}"/>
  </w:font>
  <w:font w:name="Symbol">
    <w:panose1 w:val="05050102010706020507"/>
    <w:charset w:val="02"/>
    <w:family w:val="roman"/>
    <w:pitch w:val="default"/>
    <w:sig w:usb0="00000000" w:usb1="00000000" w:usb2="00000000" w:usb3="00000000" w:csb0="80000000" w:csb1="00000000"/>
    <w:embedRegular r:id="rId5" w:fontKey="{D6B717E7-1CA8-4B69-A7ED-5142F4B3F9F8}"/>
  </w:font>
  <w:font w:name="Calibri">
    <w:panose1 w:val="020F0502020204030204"/>
    <w:charset w:val="00"/>
    <w:family w:val="swiss"/>
    <w:pitch w:val="default"/>
    <w:sig w:usb0="E00002FF" w:usb1="4000ACFF" w:usb2="00000001" w:usb3="00000000" w:csb0="2000019F" w:csb1="00000000"/>
    <w:embedRegular r:id="rId6" w:fontKey="{ECC1462C-4861-4B7D-9F3A-7D8998732B41}"/>
  </w:font>
  <w:font w:name="方正小标宋_GBK">
    <w:panose1 w:val="02000000000000000000"/>
    <w:charset w:val="86"/>
    <w:family w:val="script"/>
    <w:pitch w:val="default"/>
    <w:sig w:usb0="A00002BF" w:usb1="38CF7CFA" w:usb2="00082016" w:usb3="00000000" w:csb0="00040001" w:csb1="00000000"/>
    <w:embedRegular r:id="rId7" w:fontKey="{0C796E6F-4E43-4685-936F-3033720346F9}"/>
  </w:font>
  <w:font w:name="方正小标宋简体">
    <w:panose1 w:val="02000000000000000000"/>
    <w:charset w:val="86"/>
    <w:family w:val="auto"/>
    <w:pitch w:val="default"/>
    <w:sig w:usb0="A00002BF" w:usb1="184F6CFA" w:usb2="00000012" w:usb3="00000000" w:csb0="00040001" w:csb1="00000000"/>
    <w:embedRegular r:id="rId8" w:fontKey="{6441A883-8CC9-4390-B7D3-CE8929ABEB82}"/>
  </w:font>
  <w:font w:name="方正楷体_GBK">
    <w:panose1 w:val="02000000000000000000"/>
    <w:charset w:val="86"/>
    <w:family w:val="script"/>
    <w:pitch w:val="default"/>
    <w:sig w:usb0="A00002BF" w:usb1="38CF7CFA" w:usb2="00082016" w:usb3="00000000" w:csb0="00040001" w:csb1="00000000"/>
    <w:embedRegular r:id="rId9" w:fontKey="{05D6D6AF-35A6-4A79-8FC3-23784A264604}"/>
  </w:font>
  <w:font w:name="方正黑体_GBK">
    <w:panose1 w:val="02000000000000000000"/>
    <w:charset w:val="86"/>
    <w:family w:val="script"/>
    <w:pitch w:val="default"/>
    <w:sig w:usb0="A00002BF" w:usb1="38CF7CFA" w:usb2="00082016" w:usb3="00000000" w:csb0="00040001" w:csb1="00000000"/>
    <w:embedRegular r:id="rId10" w:fontKey="{B04AAF2D-AAD2-4237-BE42-6A6E64AF5B2A}"/>
  </w:font>
  <w:font w:name="等线">
    <w:panose1 w:val="02010600030101010101"/>
    <w:charset w:val="86"/>
    <w:family w:val="auto"/>
    <w:pitch w:val="default"/>
    <w:sig w:usb0="A00002BF" w:usb1="38CF7CFA" w:usb2="00000016" w:usb3="00000000" w:csb0="0004000F" w:csb1="00000000"/>
    <w:embedRegular r:id="rId11" w:fontKey="{490F72A5-DA69-4D51-A123-D81BFBE23165}"/>
  </w:font>
  <w:font w:name="楷体">
    <w:panose1 w:val="02010609060101010101"/>
    <w:charset w:val="86"/>
    <w:family w:val="modern"/>
    <w:pitch w:val="default"/>
    <w:sig w:usb0="800002BF" w:usb1="38CF7CFA" w:usb2="00000016" w:usb3="00000000" w:csb0="00040001" w:csb1="00000000"/>
    <w:embedRegular r:id="rId12" w:fontKey="{5045F8AD-C205-49D8-8F94-00797D68040F}"/>
  </w:font>
  <w:font w:name="方正仿宋_GBK">
    <w:panose1 w:val="02000000000000000000"/>
    <w:charset w:val="86"/>
    <w:family w:val="script"/>
    <w:pitch w:val="default"/>
    <w:sig w:usb0="A00002BF" w:usb1="38CF7CFA" w:usb2="00082016" w:usb3="00000000" w:csb0="00040001" w:csb1="00000000"/>
    <w:embedRegular r:id="rId13" w:fontKey="{1BADF93B-CA80-43CF-99DD-DF03E932B6CF}"/>
  </w:font>
  <w:font w:name="仿宋_GB2312">
    <w:panose1 w:val="02010609030101010101"/>
    <w:charset w:val="86"/>
    <w:family w:val="modern"/>
    <w:pitch w:val="default"/>
    <w:sig w:usb0="00000001" w:usb1="080E0000" w:usb2="00000000" w:usb3="00000000" w:csb0="00040000" w:csb1="00000000"/>
    <w:embedRegular r:id="rId14" w:fontKey="{5DDF24E3-439E-4C5B-9012-5D1EC95B1E90}"/>
  </w:font>
  <w:font w:name="方正黑体简体">
    <w:panose1 w:val="02000000000000000000"/>
    <w:charset w:val="86"/>
    <w:family w:val="auto"/>
    <w:pitch w:val="default"/>
    <w:sig w:usb0="A00002BF" w:usb1="184F6CFA" w:usb2="00000012" w:usb3="00000000" w:csb0="00040001" w:csb1="00000000"/>
    <w:embedRegular r:id="rId15" w:fontKey="{41B33BCF-BCFB-4EF7-9220-2740EE1A0739}"/>
  </w:font>
  <w:font w:name="仿宋">
    <w:panose1 w:val="02010609060101010101"/>
    <w:charset w:val="86"/>
    <w:family w:val="modern"/>
    <w:pitch w:val="default"/>
    <w:sig w:usb0="800002BF" w:usb1="38CF7CFA" w:usb2="00000016" w:usb3="00000000" w:csb0="00040001" w:csb1="00000000"/>
    <w:embedRegular r:id="rId16" w:fontKey="{768438C3-A5DD-485B-8E64-B18BCF6181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cs="Times New Roman"/>
        <w:sz w:val="24"/>
        <w:szCs w:val="24"/>
      </w:rPr>
    </w:pPr>
  </w:p>
  <w:p>
    <w:pPr>
      <w:pStyle w:val="6"/>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imes New Roman" w:hAnsi="Times New Roman"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133350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0.5pt;height:144pt;width:144pt;mso-position-horizontal:center;mso-position-horizontal-relative:margin;mso-wrap-style:none;z-index:251659264;mso-width-relative:page;mso-height-relative:page;" filled="f" stroked="f" coordsize="21600,21600" o:gfxdata="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CK/frtQAAAAHAQAADwAAAAAAAAABACAAAAAiAAAAZHJzL2Rvd25yZXYueG1sUEsBAhQAFAAA&#10;AAgAh07iQK9j2DAsAgAAVQQAAA4AAAAAAAAAAQAgAAAAIwEAAGRycy9lMm9Eb2MueG1sUEsFBgAA&#10;AAAGAAYAWQEAAMEFAAAAAA==&#10;">
              <v:fill on="f" focussize="0,0"/>
              <v:stroke on="f" weight="0.5pt"/>
              <v:imagedata o:title=""/>
              <o:lock v:ext="edit" aspectratio="f"/>
              <v:textbox inset="0mm,0mm,0mm,0mm" style="mso-fit-shape-to-text:t;">
                <w:txbxContent>
                  <w:p>
                    <w:pPr>
                      <w:pStyle w:val="6"/>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p>
    <w:pPr>
      <w:adjustRightInd w:val="0"/>
      <w:snapToGrid w:val="0"/>
      <w:spacing w:line="600" w:lineRule="exact"/>
      <w:ind w:firstLine="640" w:firstLineChars="200"/>
      <w:rPr>
        <w:rFonts w:ascii="宋体" w:hAnsi="宋体" w:eastAsia="方正仿宋_GBK" w:cs="Times New Roman"/>
        <w:sz w:val="32"/>
        <w:szCs w:val="2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cs="Times New Roman"/>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133350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0.5pt;height:144pt;width:144pt;mso-position-horizontal:center;mso-position-horizontal-relative:margin;mso-wrap-style:none;z-index:251660288;mso-width-relative:page;mso-height-relative:page;" filled="f" stroked="f" coordsize="21600,21600" o:gfxdata="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iv367UAAAABwEAAA8AAAAAAAAAAQAgAAAAIgAAAGRycy9kb3ducmV2LnhtbFBLAQIUABQAAAAI&#10;AIdO4kAm1VpzKgIAAFUEAAAOAAAAAAAAAAEAIAAAACMBAABkcnMvZTJvRG9jLnhtbFBLBQYAAAAA&#10;BgAGAFkBAAC/BQAAAAA=&#10;">
              <v:fill on="f" focussize="0,0"/>
              <v:stroke on="f" weight="0.5pt"/>
              <v:imagedata o:title=""/>
              <o:lock v:ext="edit" aspectratio="f"/>
              <v:textbox inset="0mm,0mm,0mm,0mm" style="mso-fit-shape-to-text:t;">
                <w:txbxContent>
                  <w:p>
                    <w:pPr>
                      <w:pStyle w:val="6"/>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p>
                </w:txbxContent>
              </v:textbox>
            </v:shape>
          </w:pict>
        </mc:Fallback>
      </mc:AlternateConten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cs="Times New Roman"/>
        <w:sz w:val="24"/>
        <w:szCs w:val="24"/>
      </w:rPr>
    </w:pP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spacing w:line="600" w:lineRule="exact"/>
      <w:ind w:firstLine="640" w:firstLineChars="200"/>
      <w:rPr>
        <w:rFonts w:ascii="宋体" w:hAnsi="宋体" w:eastAsia="方正仿宋_GBK" w:cs="Times New Roman"/>
        <w:sz w:val="32"/>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cs="Times New Roman"/>
        <w:sz w:val="24"/>
        <w:szCs w:val="24"/>
      </w:rPr>
    </w:pPr>
  </w:p>
  <w:p>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spacing w:line="600" w:lineRule="exact"/>
      <w:ind w:firstLine="640" w:firstLineChars="200"/>
      <w:rPr>
        <w:rFonts w:ascii="宋体" w:hAnsi="宋体" w:eastAsia="方正仿宋_GBK" w:cs="Times New Roman"/>
        <w:sz w:val="32"/>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cs="Times New Roman"/>
        <w:sz w:val="24"/>
        <w:szCs w:val="24"/>
      </w:rPr>
    </w:pPr>
  </w:p>
  <w:p>
    <w:pPr>
      <w:pStyle w:val="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spacing w:line="600" w:lineRule="exact"/>
      <w:ind w:firstLine="640" w:firstLineChars="200"/>
      <w:rPr>
        <w:rFonts w:ascii="宋体" w:hAnsi="宋体" w:eastAsia="方正仿宋_GBK" w:cs="Times New Roman"/>
        <w:sz w:val="32"/>
        <w:szCs w:val="2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cs="Times New Roman"/>
        <w:sz w:val="24"/>
        <w:szCs w:val="24"/>
      </w:rPr>
    </w:pPr>
  </w:p>
  <w:p>
    <w:pPr>
      <w:pStyle w:val="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spacing w:line="600" w:lineRule="exact"/>
      <w:ind w:firstLine="640" w:firstLineChars="200"/>
      <w:rPr>
        <w:rFonts w:ascii="宋体" w:hAnsi="宋体" w:eastAsia="方正仿宋_GBK" w:cs="Times New Roman"/>
        <w:sz w:val="32"/>
        <w:szCs w:val="2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spacing w:line="600" w:lineRule="exact"/>
      <w:ind w:firstLine="640" w:firstLineChars="200"/>
      <w:rPr>
        <w:rFonts w:ascii="宋体" w:hAnsi="宋体" w:eastAsia="方正仿宋_GBK" w:cs="Times New Roman"/>
        <w:sz w:val="3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mirrorMargin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08"/>
    <w:rsid w:val="00023FE7"/>
    <w:rsid w:val="00040863"/>
    <w:rsid w:val="00051CD5"/>
    <w:rsid w:val="000529E8"/>
    <w:rsid w:val="000606BF"/>
    <w:rsid w:val="000730A4"/>
    <w:rsid w:val="000C1B85"/>
    <w:rsid w:val="000C3CE0"/>
    <w:rsid w:val="000E48C9"/>
    <w:rsid w:val="000F0715"/>
    <w:rsid w:val="000F23E1"/>
    <w:rsid w:val="00107AE0"/>
    <w:rsid w:val="00111617"/>
    <w:rsid w:val="00133C43"/>
    <w:rsid w:val="001A2AED"/>
    <w:rsid w:val="001A3058"/>
    <w:rsid w:val="001D617B"/>
    <w:rsid w:val="00245E45"/>
    <w:rsid w:val="0027405D"/>
    <w:rsid w:val="00277E1A"/>
    <w:rsid w:val="002872BA"/>
    <w:rsid w:val="00292FA9"/>
    <w:rsid w:val="002A3037"/>
    <w:rsid w:val="002A7D9F"/>
    <w:rsid w:val="002D6A88"/>
    <w:rsid w:val="00334BC7"/>
    <w:rsid w:val="0038061F"/>
    <w:rsid w:val="00380F5A"/>
    <w:rsid w:val="00384E7F"/>
    <w:rsid w:val="003A7408"/>
    <w:rsid w:val="003D25D6"/>
    <w:rsid w:val="003D2B32"/>
    <w:rsid w:val="003F0250"/>
    <w:rsid w:val="003F431E"/>
    <w:rsid w:val="004003EB"/>
    <w:rsid w:val="004020AD"/>
    <w:rsid w:val="00403C52"/>
    <w:rsid w:val="00444617"/>
    <w:rsid w:val="00451C9D"/>
    <w:rsid w:val="00471D68"/>
    <w:rsid w:val="00480498"/>
    <w:rsid w:val="00482FA9"/>
    <w:rsid w:val="004973AB"/>
    <w:rsid w:val="004C09B2"/>
    <w:rsid w:val="00501A64"/>
    <w:rsid w:val="0051098F"/>
    <w:rsid w:val="0052659B"/>
    <w:rsid w:val="00555509"/>
    <w:rsid w:val="00571BAF"/>
    <w:rsid w:val="005E30FB"/>
    <w:rsid w:val="005F54A1"/>
    <w:rsid w:val="006409C8"/>
    <w:rsid w:val="006555B0"/>
    <w:rsid w:val="006A028A"/>
    <w:rsid w:val="006B785A"/>
    <w:rsid w:val="00744C7D"/>
    <w:rsid w:val="00747619"/>
    <w:rsid w:val="00750A9C"/>
    <w:rsid w:val="0076663A"/>
    <w:rsid w:val="007A5AA2"/>
    <w:rsid w:val="007A6762"/>
    <w:rsid w:val="007B3C13"/>
    <w:rsid w:val="007C74E9"/>
    <w:rsid w:val="008B0BC9"/>
    <w:rsid w:val="008B465E"/>
    <w:rsid w:val="008E21C6"/>
    <w:rsid w:val="008E58D9"/>
    <w:rsid w:val="008E7211"/>
    <w:rsid w:val="008F4EF6"/>
    <w:rsid w:val="008F78DE"/>
    <w:rsid w:val="00921DDB"/>
    <w:rsid w:val="00930344"/>
    <w:rsid w:val="009366E2"/>
    <w:rsid w:val="009560FD"/>
    <w:rsid w:val="009B2924"/>
    <w:rsid w:val="009C3122"/>
    <w:rsid w:val="009D6EFC"/>
    <w:rsid w:val="009D6F2B"/>
    <w:rsid w:val="00A24187"/>
    <w:rsid w:val="00A518AC"/>
    <w:rsid w:val="00A73BA1"/>
    <w:rsid w:val="00A773AE"/>
    <w:rsid w:val="00A90F7A"/>
    <w:rsid w:val="00AB5A78"/>
    <w:rsid w:val="00AD0CE5"/>
    <w:rsid w:val="00B013CD"/>
    <w:rsid w:val="00B17486"/>
    <w:rsid w:val="00B17ECE"/>
    <w:rsid w:val="00B24796"/>
    <w:rsid w:val="00B83BA0"/>
    <w:rsid w:val="00BF0B78"/>
    <w:rsid w:val="00C23ED2"/>
    <w:rsid w:val="00C572E6"/>
    <w:rsid w:val="00C7715B"/>
    <w:rsid w:val="00C83BBF"/>
    <w:rsid w:val="00C95669"/>
    <w:rsid w:val="00CC0DBC"/>
    <w:rsid w:val="00CC2B48"/>
    <w:rsid w:val="00D14A37"/>
    <w:rsid w:val="00D361C7"/>
    <w:rsid w:val="00D73055"/>
    <w:rsid w:val="00D815EA"/>
    <w:rsid w:val="00D8261A"/>
    <w:rsid w:val="00D91DEB"/>
    <w:rsid w:val="00D97FB9"/>
    <w:rsid w:val="00DA0148"/>
    <w:rsid w:val="00DD3F23"/>
    <w:rsid w:val="00E04CBF"/>
    <w:rsid w:val="00E132A3"/>
    <w:rsid w:val="00E17C5F"/>
    <w:rsid w:val="00E64E6C"/>
    <w:rsid w:val="00ED2EDF"/>
    <w:rsid w:val="00EE12A4"/>
    <w:rsid w:val="00F00660"/>
    <w:rsid w:val="00F040EE"/>
    <w:rsid w:val="00F1353A"/>
    <w:rsid w:val="00F27A14"/>
    <w:rsid w:val="00FC5300"/>
    <w:rsid w:val="00FE64DC"/>
    <w:rsid w:val="00FF14C2"/>
    <w:rsid w:val="01330134"/>
    <w:rsid w:val="021A6CFC"/>
    <w:rsid w:val="023D38DC"/>
    <w:rsid w:val="02414D18"/>
    <w:rsid w:val="02CC12D5"/>
    <w:rsid w:val="034306EF"/>
    <w:rsid w:val="04E97CDA"/>
    <w:rsid w:val="061B49E0"/>
    <w:rsid w:val="07BB752F"/>
    <w:rsid w:val="0ADE76BE"/>
    <w:rsid w:val="0C8A706C"/>
    <w:rsid w:val="0CC4120A"/>
    <w:rsid w:val="0D371A74"/>
    <w:rsid w:val="0DE34D16"/>
    <w:rsid w:val="0EF07544"/>
    <w:rsid w:val="10BF5140"/>
    <w:rsid w:val="12A22E0E"/>
    <w:rsid w:val="134A7155"/>
    <w:rsid w:val="13816F9C"/>
    <w:rsid w:val="14D52B60"/>
    <w:rsid w:val="159A54FC"/>
    <w:rsid w:val="161E64F1"/>
    <w:rsid w:val="1650327D"/>
    <w:rsid w:val="187E3A9B"/>
    <w:rsid w:val="18C26FED"/>
    <w:rsid w:val="19862A78"/>
    <w:rsid w:val="199A21FB"/>
    <w:rsid w:val="19C8114B"/>
    <w:rsid w:val="1ABA5E4B"/>
    <w:rsid w:val="1BC814EA"/>
    <w:rsid w:val="1C977BCD"/>
    <w:rsid w:val="203B4037"/>
    <w:rsid w:val="20571DF8"/>
    <w:rsid w:val="210C6C01"/>
    <w:rsid w:val="22B1656E"/>
    <w:rsid w:val="22C637E0"/>
    <w:rsid w:val="24BD2B24"/>
    <w:rsid w:val="24D8776C"/>
    <w:rsid w:val="261E2C73"/>
    <w:rsid w:val="26DF5D73"/>
    <w:rsid w:val="276971F9"/>
    <w:rsid w:val="280A0C2F"/>
    <w:rsid w:val="29152513"/>
    <w:rsid w:val="2C2133C2"/>
    <w:rsid w:val="2C371E4E"/>
    <w:rsid w:val="2D1430FB"/>
    <w:rsid w:val="2D4B681F"/>
    <w:rsid w:val="2D88632C"/>
    <w:rsid w:val="2DCA22FE"/>
    <w:rsid w:val="2DFD7164"/>
    <w:rsid w:val="2E046EC7"/>
    <w:rsid w:val="2F396C26"/>
    <w:rsid w:val="31C36010"/>
    <w:rsid w:val="3280295A"/>
    <w:rsid w:val="32AE7C74"/>
    <w:rsid w:val="33CE6C21"/>
    <w:rsid w:val="3414455C"/>
    <w:rsid w:val="34FA7E88"/>
    <w:rsid w:val="35747EC7"/>
    <w:rsid w:val="35F94582"/>
    <w:rsid w:val="36863B52"/>
    <w:rsid w:val="36B1458D"/>
    <w:rsid w:val="36D05098"/>
    <w:rsid w:val="37913B91"/>
    <w:rsid w:val="38BC7332"/>
    <w:rsid w:val="3A9E6A32"/>
    <w:rsid w:val="3C6316D1"/>
    <w:rsid w:val="3C6B4E5C"/>
    <w:rsid w:val="3D3B3105"/>
    <w:rsid w:val="3DC71609"/>
    <w:rsid w:val="406C5B77"/>
    <w:rsid w:val="41554516"/>
    <w:rsid w:val="4168720A"/>
    <w:rsid w:val="41A447AA"/>
    <w:rsid w:val="41B656B8"/>
    <w:rsid w:val="42571320"/>
    <w:rsid w:val="4343222F"/>
    <w:rsid w:val="43B2445A"/>
    <w:rsid w:val="446A76E2"/>
    <w:rsid w:val="450647D5"/>
    <w:rsid w:val="451251F0"/>
    <w:rsid w:val="46B72F2F"/>
    <w:rsid w:val="47544773"/>
    <w:rsid w:val="483153BC"/>
    <w:rsid w:val="4875766F"/>
    <w:rsid w:val="48B8226B"/>
    <w:rsid w:val="48C81707"/>
    <w:rsid w:val="48F82324"/>
    <w:rsid w:val="490F6A1C"/>
    <w:rsid w:val="49F96121"/>
    <w:rsid w:val="4A373C21"/>
    <w:rsid w:val="4A3D62EF"/>
    <w:rsid w:val="4A4A7128"/>
    <w:rsid w:val="4A552B71"/>
    <w:rsid w:val="4A72203E"/>
    <w:rsid w:val="4B8A0351"/>
    <w:rsid w:val="4BFC5140"/>
    <w:rsid w:val="4C585612"/>
    <w:rsid w:val="4CF00B8D"/>
    <w:rsid w:val="4DB22585"/>
    <w:rsid w:val="4EAE609C"/>
    <w:rsid w:val="4EE446AC"/>
    <w:rsid w:val="4F3D673D"/>
    <w:rsid w:val="4F6C2744"/>
    <w:rsid w:val="506231A9"/>
    <w:rsid w:val="506F4CAC"/>
    <w:rsid w:val="50B3022A"/>
    <w:rsid w:val="51C538B5"/>
    <w:rsid w:val="53230849"/>
    <w:rsid w:val="55781FE1"/>
    <w:rsid w:val="564B133A"/>
    <w:rsid w:val="585C6695"/>
    <w:rsid w:val="58B65D49"/>
    <w:rsid w:val="58D441FB"/>
    <w:rsid w:val="5924160D"/>
    <w:rsid w:val="59F25D05"/>
    <w:rsid w:val="5A116994"/>
    <w:rsid w:val="5ABF5768"/>
    <w:rsid w:val="5AF84F9C"/>
    <w:rsid w:val="5B802439"/>
    <w:rsid w:val="5BED1BF8"/>
    <w:rsid w:val="5CAC0118"/>
    <w:rsid w:val="60B95B45"/>
    <w:rsid w:val="6378551A"/>
    <w:rsid w:val="64FC7B8B"/>
    <w:rsid w:val="653E3DBF"/>
    <w:rsid w:val="661A7916"/>
    <w:rsid w:val="661E2653"/>
    <w:rsid w:val="66292299"/>
    <w:rsid w:val="66ED0E67"/>
    <w:rsid w:val="67CA07D8"/>
    <w:rsid w:val="6A326FE1"/>
    <w:rsid w:val="6A5D0DBD"/>
    <w:rsid w:val="6AB32402"/>
    <w:rsid w:val="6ADE7B18"/>
    <w:rsid w:val="6AE16096"/>
    <w:rsid w:val="6B6C44E9"/>
    <w:rsid w:val="6BAB1DF9"/>
    <w:rsid w:val="6BE664B1"/>
    <w:rsid w:val="6BF76176"/>
    <w:rsid w:val="6C37345F"/>
    <w:rsid w:val="6D864D33"/>
    <w:rsid w:val="6D947BF7"/>
    <w:rsid w:val="6E267F33"/>
    <w:rsid w:val="6EBE3B2F"/>
    <w:rsid w:val="6F4D45E2"/>
    <w:rsid w:val="6FA42ED3"/>
    <w:rsid w:val="70096446"/>
    <w:rsid w:val="701356D9"/>
    <w:rsid w:val="712D7D1B"/>
    <w:rsid w:val="727348A8"/>
    <w:rsid w:val="72AD2637"/>
    <w:rsid w:val="743B3001"/>
    <w:rsid w:val="750E1349"/>
    <w:rsid w:val="759674CC"/>
    <w:rsid w:val="76236793"/>
    <w:rsid w:val="763316A9"/>
    <w:rsid w:val="769B2A0F"/>
    <w:rsid w:val="76F77808"/>
    <w:rsid w:val="784F6BD3"/>
    <w:rsid w:val="79A31DA3"/>
    <w:rsid w:val="7A2C1628"/>
    <w:rsid w:val="7AF031E9"/>
    <w:rsid w:val="7B651C8C"/>
    <w:rsid w:val="7C181D10"/>
    <w:rsid w:val="7CB46A37"/>
    <w:rsid w:val="7CD50E2D"/>
    <w:rsid w:val="7E257EAC"/>
    <w:rsid w:val="7E286066"/>
    <w:rsid w:val="7E9B3CFD"/>
    <w:rsid w:val="7EDF4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widowControl/>
      <w:jc w:val="left"/>
      <w:outlineLvl w:val="0"/>
    </w:pPr>
    <w:rPr>
      <w:rFonts w:eastAsia="黑体"/>
      <w:bCs/>
      <w:kern w:val="36"/>
      <w:szCs w:val="4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rPr>
      <w:rFonts w:eastAsia="宋体"/>
      <w:szCs w:val="20"/>
    </w:rPr>
  </w:style>
  <w:style w:type="paragraph" w:styleId="3">
    <w:name w:val="Body Text Indent"/>
    <w:basedOn w:val="1"/>
    <w:next w:val="4"/>
    <w:unhideWhenUsed/>
    <w:qFormat/>
    <w:uiPriority w:val="99"/>
    <w:pPr>
      <w:spacing w:after="120"/>
      <w:ind w:left="420" w:leftChars="200"/>
    </w:pPr>
  </w:style>
  <w:style w:type="paragraph" w:styleId="4">
    <w:name w:val="Body Text Indent 2"/>
    <w:basedOn w:val="1"/>
    <w:unhideWhenUsed/>
    <w:qFormat/>
    <w:uiPriority w:val="99"/>
    <w:pPr>
      <w:ind w:firstLine="630"/>
    </w:pPr>
    <w:rPr>
      <w:rFonts w:eastAsia="宋体"/>
      <w:b/>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character" w:styleId="12">
    <w:name w:val="Hyperlink"/>
    <w:unhideWhenUsed/>
    <w:qFormat/>
    <w:uiPriority w:val="99"/>
    <w:rPr>
      <w:color w:val="0563C1"/>
      <w:u w:val="single"/>
    </w:rPr>
  </w:style>
  <w:style w:type="character" w:customStyle="1" w:styleId="13">
    <w:name w:val="页眉 字符"/>
    <w:basedOn w:val="11"/>
    <w:link w:val="7"/>
    <w:qFormat/>
    <w:uiPriority w:val="0"/>
    <w:rPr>
      <w:rFonts w:asciiTheme="minorHAnsi" w:hAnsiTheme="minorHAnsi" w:eastAsiaTheme="minorEastAsia" w:cstheme="minorBidi"/>
      <w:kern w:val="2"/>
      <w:sz w:val="18"/>
      <w:szCs w:val="18"/>
    </w:rPr>
  </w:style>
  <w:style w:type="character" w:customStyle="1" w:styleId="14">
    <w:name w:val="页脚 字符"/>
    <w:basedOn w:val="11"/>
    <w:link w:val="6"/>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FE7CEE-AFC0-4709-BAD8-530D7B8582D7}">
  <ds:schemaRefs/>
</ds:datastoreItem>
</file>

<file path=docProps/app.xml><?xml version="1.0" encoding="utf-8"?>
<Properties xmlns="http://schemas.openxmlformats.org/officeDocument/2006/extended-properties" xmlns:vt="http://schemas.openxmlformats.org/officeDocument/2006/docPropsVTypes">
  <Template>Normal</Template>
  <Pages>139</Pages>
  <Words>3983</Words>
  <Characters>4278</Characters>
  <Lines>533</Lines>
  <Paragraphs>150</Paragraphs>
  <TotalTime>10</TotalTime>
  <ScaleCrop>false</ScaleCrop>
  <LinksUpToDate>false</LinksUpToDate>
  <CharactersWithSpaces>4557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201712081428</dc:creator>
  <cp:lastModifiedBy>钟威景</cp:lastModifiedBy>
  <dcterms:modified xsi:type="dcterms:W3CDTF">2026-07-10T03:29:11Z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KSOSaveFontToCloudKey">
    <vt:lpwstr>412735791_btnclosed</vt:lpwstr>
  </property>
  <property fmtid="{D5CDD505-2E9C-101B-9397-08002B2CF9AE}" pid="4" name="ICV">
    <vt:lpwstr>91B5A00A81954DC4B4880B4962791E09</vt:lpwstr>
  </property>
  <property fmtid="{D5CDD505-2E9C-101B-9397-08002B2CF9AE}" pid="5" name="KSOTemplateDocerSaveRecord">
    <vt:lpwstr>eyJoZGlkIjoiMDIyMGJmNjE2OWJhYzE5Zjc5YTQyMjNjOGQ5ODJlODAiLCJ1c2VySWQiOiI5MTQ4MTc5MzAifQ==</vt:lpwstr>
  </property>
</Properties>
</file>