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outlineLvl w:val="0"/>
        <w:rPr>
          <w:rFonts w:hint="eastAsia"/>
          <w:b/>
          <w:bCs/>
          <w:color w:val="auto"/>
          <w:sz w:val="28"/>
          <w:szCs w:val="28"/>
          <w:lang w:val="en-US" w:eastAsia="zh-CN"/>
        </w:rPr>
      </w:pPr>
      <w:bookmarkStart w:id="1" w:name="_GoBack"/>
      <w:bookmarkEnd w:id="1"/>
      <w:bookmarkStart w:id="0" w:name="_Toc5114"/>
    </w:p>
    <w:p>
      <w:pPr>
        <w:snapToGrid w:val="0"/>
        <w:spacing w:line="360" w:lineRule="auto"/>
        <w:jc w:val="left"/>
        <w:outlineLvl w:val="0"/>
        <w:rPr>
          <w:rFonts w:hint="eastAsia" w:eastAsiaTheme="minorEastAsia"/>
          <w:b/>
          <w:bCs/>
          <w:color w:val="auto"/>
          <w:sz w:val="28"/>
          <w:szCs w:val="28"/>
          <w:lang w:val="en-US" w:eastAsia="zh-CN"/>
        </w:rPr>
      </w:pPr>
      <w:r>
        <w:rPr>
          <w:rFonts w:hint="eastAsia"/>
          <w:b/>
          <w:bCs/>
          <w:color w:val="auto"/>
          <w:sz w:val="28"/>
          <w:szCs w:val="28"/>
          <w:lang w:val="en-US" w:eastAsia="zh-CN"/>
        </w:rPr>
        <w:t>附件：</w:t>
      </w:r>
    </w:p>
    <w:p>
      <w:pPr>
        <w:snapToGrid w:val="0"/>
        <w:spacing w:line="360" w:lineRule="auto"/>
        <w:jc w:val="center"/>
        <w:outlineLvl w:val="0"/>
        <w:rPr>
          <w:b/>
          <w:bCs/>
          <w:color w:val="auto"/>
          <w:sz w:val="28"/>
          <w:szCs w:val="28"/>
        </w:rPr>
      </w:pPr>
      <w:r>
        <w:rPr>
          <w:rFonts w:hint="eastAsia"/>
          <w:b/>
          <w:bCs/>
          <w:color w:val="auto"/>
          <w:sz w:val="28"/>
          <w:szCs w:val="28"/>
        </w:rPr>
        <w:t>综合评分表</w:t>
      </w:r>
      <w:bookmarkEnd w:id="0"/>
    </w:p>
    <w:tbl>
      <w:tblPr>
        <w:tblStyle w:val="3"/>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1553"/>
        <w:gridCol w:w="4129"/>
        <w:gridCol w:w="1030"/>
        <w:gridCol w:w="9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tblHeader/>
          <w:jc w:val="center"/>
        </w:trPr>
        <w:tc>
          <w:tcPr>
            <w:tcW w:w="900" w:type="dxa"/>
            <w:vAlign w:val="center"/>
          </w:tcPr>
          <w:p>
            <w:pPr>
              <w:snapToGrid w:val="0"/>
              <w:spacing w:line="240" w:lineRule="auto"/>
              <w:ind w:left="0" w:leftChars="0" w:right="0" w:rightChars="0" w:firstLine="0" w:firstLineChars="0"/>
              <w:jc w:val="center"/>
              <w:rPr>
                <w:rFonts w:ascii="宋体" w:hAnsi="宋体" w:cs="宋体"/>
                <w:b/>
                <w:color w:val="auto"/>
                <w:sz w:val="24"/>
                <w:szCs w:val="24"/>
              </w:rPr>
            </w:pPr>
            <w:r>
              <w:rPr>
                <w:rFonts w:hint="eastAsia" w:ascii="宋体" w:hAnsi="宋体" w:cs="宋体"/>
                <w:b/>
                <w:color w:val="auto"/>
                <w:sz w:val="24"/>
                <w:szCs w:val="24"/>
              </w:rPr>
              <w:t>序号</w:t>
            </w:r>
          </w:p>
        </w:tc>
        <w:tc>
          <w:tcPr>
            <w:tcW w:w="1553" w:type="dxa"/>
            <w:vAlign w:val="center"/>
          </w:tcPr>
          <w:p>
            <w:pPr>
              <w:snapToGrid w:val="0"/>
              <w:spacing w:line="240" w:lineRule="auto"/>
              <w:ind w:left="0" w:leftChars="0" w:right="0" w:rightChars="0" w:firstLine="0" w:firstLineChars="0"/>
              <w:jc w:val="center"/>
              <w:rPr>
                <w:rFonts w:ascii="宋体" w:hAnsi="宋体" w:cs="宋体"/>
                <w:b/>
                <w:color w:val="auto"/>
                <w:sz w:val="24"/>
                <w:szCs w:val="24"/>
              </w:rPr>
            </w:pPr>
            <w:r>
              <w:rPr>
                <w:rFonts w:hint="eastAsia" w:ascii="宋体" w:hAnsi="宋体" w:cs="宋体"/>
                <w:b/>
                <w:color w:val="auto"/>
                <w:sz w:val="24"/>
                <w:szCs w:val="24"/>
              </w:rPr>
              <w:t>评审因素</w:t>
            </w:r>
          </w:p>
        </w:tc>
        <w:tc>
          <w:tcPr>
            <w:tcW w:w="4129" w:type="dxa"/>
            <w:vAlign w:val="center"/>
          </w:tcPr>
          <w:p>
            <w:pPr>
              <w:snapToGrid w:val="0"/>
              <w:spacing w:line="240" w:lineRule="auto"/>
              <w:ind w:left="0" w:leftChars="0" w:right="0" w:rightChars="0" w:firstLine="0" w:firstLineChars="0"/>
              <w:jc w:val="center"/>
              <w:rPr>
                <w:rFonts w:ascii="宋体" w:hAnsi="宋体" w:cs="宋体"/>
                <w:b/>
                <w:color w:val="auto"/>
                <w:sz w:val="24"/>
                <w:szCs w:val="24"/>
              </w:rPr>
            </w:pPr>
            <w:r>
              <w:rPr>
                <w:rFonts w:hint="eastAsia" w:ascii="宋体" w:hAnsi="宋体" w:cs="宋体"/>
                <w:b/>
                <w:color w:val="auto"/>
                <w:sz w:val="24"/>
                <w:szCs w:val="24"/>
              </w:rPr>
              <w:t>评分细则</w:t>
            </w:r>
          </w:p>
        </w:tc>
        <w:tc>
          <w:tcPr>
            <w:tcW w:w="1030" w:type="dxa"/>
            <w:vAlign w:val="center"/>
          </w:tcPr>
          <w:p>
            <w:pPr>
              <w:snapToGrid w:val="0"/>
              <w:spacing w:line="240" w:lineRule="auto"/>
              <w:ind w:left="0" w:leftChars="0" w:right="0" w:rightChars="0" w:firstLine="0" w:firstLineChars="0"/>
              <w:jc w:val="center"/>
              <w:rPr>
                <w:rFonts w:hint="eastAsia" w:ascii="宋体" w:hAnsi="宋体" w:cs="宋体"/>
                <w:b/>
                <w:color w:val="auto"/>
                <w:sz w:val="24"/>
                <w:szCs w:val="24"/>
              </w:rPr>
            </w:pPr>
            <w:r>
              <w:rPr>
                <w:rFonts w:hint="eastAsia" w:ascii="宋体" w:hAnsi="宋体" w:cs="宋体"/>
                <w:b/>
                <w:color w:val="auto"/>
                <w:sz w:val="24"/>
                <w:szCs w:val="24"/>
              </w:rPr>
              <w:t>分值</w:t>
            </w:r>
          </w:p>
          <w:p>
            <w:pPr>
              <w:snapToGrid w:val="0"/>
              <w:spacing w:line="240" w:lineRule="auto"/>
              <w:ind w:left="0" w:leftChars="0" w:right="0" w:rightChars="0" w:firstLine="0" w:firstLineChars="0"/>
              <w:jc w:val="center"/>
              <w:rPr>
                <w:rFonts w:ascii="宋体" w:hAnsi="宋体" w:cs="宋体"/>
                <w:b/>
                <w:color w:val="auto"/>
                <w:sz w:val="24"/>
                <w:szCs w:val="24"/>
              </w:rPr>
            </w:pPr>
            <w:r>
              <w:rPr>
                <w:rFonts w:hint="eastAsia" w:ascii="宋体" w:hAnsi="宋体" w:cs="宋体"/>
                <w:b/>
                <w:color w:val="auto"/>
                <w:sz w:val="24"/>
                <w:szCs w:val="24"/>
              </w:rPr>
              <w:t>（分）</w:t>
            </w:r>
          </w:p>
        </w:tc>
        <w:tc>
          <w:tcPr>
            <w:tcW w:w="910" w:type="dxa"/>
            <w:vAlign w:val="center"/>
          </w:tcPr>
          <w:p>
            <w:pPr>
              <w:snapToGrid w:val="0"/>
              <w:spacing w:line="240" w:lineRule="auto"/>
              <w:ind w:left="0" w:leftChars="0" w:right="0" w:rightChars="0" w:firstLine="0" w:firstLineChars="0"/>
              <w:jc w:val="center"/>
              <w:rPr>
                <w:rFonts w:hint="eastAsia" w:ascii="宋体" w:hAnsi="宋体" w:cs="宋体"/>
                <w:b/>
                <w:color w:val="auto"/>
                <w:sz w:val="24"/>
                <w:szCs w:val="24"/>
              </w:rPr>
            </w:pPr>
            <w:r>
              <w:rPr>
                <w:rFonts w:hint="eastAsia" w:ascii="宋体" w:hAnsi="宋体" w:cs="宋体"/>
                <w:b/>
                <w:color w:val="auto"/>
                <w:sz w:val="24"/>
                <w:szCs w:val="24"/>
              </w:rPr>
              <w:t>权重</w:t>
            </w:r>
          </w:p>
          <w:p>
            <w:pPr>
              <w:snapToGrid w:val="0"/>
              <w:spacing w:line="240" w:lineRule="auto"/>
              <w:ind w:left="0" w:leftChars="0" w:right="0" w:rightChars="0" w:firstLine="0" w:firstLineChars="0"/>
              <w:jc w:val="center"/>
              <w:rPr>
                <w:rFonts w:ascii="宋体" w:hAnsi="宋体" w:cs="宋体"/>
                <w:b/>
                <w:color w:val="auto"/>
                <w:sz w:val="24"/>
                <w:szCs w:val="24"/>
              </w:rPr>
            </w:pPr>
            <w:r>
              <w:rPr>
                <w:rFonts w:hint="eastAsia" w:ascii="宋体" w:hAnsi="宋体" w:cs="宋体"/>
                <w:b/>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900" w:type="dxa"/>
            <w:vAlign w:val="center"/>
          </w:tcPr>
          <w:p>
            <w:pPr>
              <w:snapToGrid w:val="0"/>
              <w:spacing w:line="240" w:lineRule="auto"/>
              <w:ind w:left="0" w:leftChars="0" w:right="0" w:rightChars="0" w:firstLine="0" w:firstLineChars="0"/>
              <w:jc w:val="center"/>
              <w:rPr>
                <w:rFonts w:ascii="宋体" w:hAnsi="宋体" w:cs="宋体"/>
                <w:b/>
                <w:color w:val="auto"/>
                <w:sz w:val="24"/>
                <w:szCs w:val="24"/>
              </w:rPr>
            </w:pPr>
            <w:r>
              <w:rPr>
                <w:rFonts w:hint="eastAsia" w:ascii="宋体" w:hAnsi="宋体" w:cs="宋体"/>
                <w:b/>
                <w:color w:val="auto"/>
                <w:sz w:val="24"/>
                <w:szCs w:val="24"/>
              </w:rPr>
              <w:t>一</w:t>
            </w:r>
          </w:p>
        </w:tc>
        <w:tc>
          <w:tcPr>
            <w:tcW w:w="7622" w:type="dxa"/>
            <w:gridSpan w:val="4"/>
            <w:vAlign w:val="center"/>
          </w:tcPr>
          <w:p>
            <w:pPr>
              <w:snapToGrid w:val="0"/>
              <w:spacing w:line="240" w:lineRule="auto"/>
              <w:ind w:left="0" w:leftChars="0" w:right="0" w:rightChars="0" w:firstLine="0" w:firstLineChars="0"/>
              <w:jc w:val="center"/>
              <w:rPr>
                <w:rFonts w:ascii="宋体" w:hAnsi="宋体" w:cs="宋体"/>
                <w:b/>
                <w:color w:val="auto"/>
                <w:sz w:val="24"/>
                <w:szCs w:val="24"/>
              </w:rPr>
            </w:pPr>
            <w:r>
              <w:rPr>
                <w:rFonts w:hint="eastAsia" w:ascii="宋体" w:hAnsi="宋体"/>
                <w:b/>
                <w:color w:val="auto"/>
                <w:sz w:val="24"/>
                <w:szCs w:val="24"/>
              </w:rPr>
              <w:t>技术部分（合计</w:t>
            </w:r>
            <w:r>
              <w:rPr>
                <w:rFonts w:hint="eastAsia" w:ascii="宋体" w:hAnsi="宋体"/>
                <w:b/>
                <w:color w:val="auto"/>
                <w:sz w:val="24"/>
                <w:szCs w:val="24"/>
                <w:lang w:val="en-US" w:eastAsia="zh-CN"/>
              </w:rPr>
              <w:t>50</w:t>
            </w:r>
            <w:r>
              <w:rPr>
                <w:rFonts w:hint="eastAsia" w:ascii="宋体" w:hAnsi="宋体"/>
                <w:b/>
                <w:color w:val="auto"/>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5" w:hRule="atLeast"/>
          <w:jc w:val="center"/>
        </w:trPr>
        <w:tc>
          <w:tcPr>
            <w:tcW w:w="900" w:type="dxa"/>
            <w:vAlign w:val="center"/>
          </w:tcPr>
          <w:p>
            <w:pPr>
              <w:pStyle w:val="5"/>
              <w:numPr>
                <w:ilvl w:val="0"/>
                <w:numId w:val="1"/>
              </w:numPr>
              <w:snapToGrid w:val="0"/>
              <w:spacing w:line="240" w:lineRule="auto"/>
              <w:ind w:left="0" w:leftChars="0" w:right="0" w:rightChars="0" w:firstLine="0" w:firstLineChars="0"/>
              <w:jc w:val="left"/>
              <w:rPr>
                <w:rFonts w:ascii="宋体" w:hAnsi="宋体" w:eastAsia="宋体"/>
                <w:color w:val="auto"/>
                <w:sz w:val="24"/>
                <w:szCs w:val="24"/>
              </w:rPr>
            </w:pPr>
          </w:p>
        </w:tc>
        <w:tc>
          <w:tcPr>
            <w:tcW w:w="1553" w:type="dxa"/>
            <w:vAlign w:val="center"/>
          </w:tcPr>
          <w:p>
            <w:pPr>
              <w:snapToGrid w:val="0"/>
              <w:spacing w:line="240" w:lineRule="auto"/>
              <w:ind w:left="0" w:leftChars="0" w:right="0" w:rightChars="0" w:firstLine="0" w:firstLineChars="0"/>
              <w:jc w:val="left"/>
              <w:rPr>
                <w:rFonts w:hint="eastAsia" w:ascii="宋体" w:hAnsi="宋体" w:eastAsia="宋体"/>
                <w:color w:val="auto"/>
                <w:sz w:val="24"/>
                <w:szCs w:val="24"/>
              </w:rPr>
            </w:pPr>
            <w:r>
              <w:rPr>
                <w:rFonts w:hint="eastAsia" w:ascii="宋体" w:hAnsi="宋体" w:eastAsia="宋体"/>
                <w:color w:val="auto"/>
                <w:sz w:val="24"/>
                <w:szCs w:val="24"/>
              </w:rPr>
              <w:t>对渔业船舶检验工作相关情况的了解和熟悉程度</w:t>
            </w:r>
          </w:p>
        </w:tc>
        <w:tc>
          <w:tcPr>
            <w:tcW w:w="41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根据响应供应商对渔业船舶检验工作情况的了解和熟悉程度进行评分：</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对渔业船舶检验工作情况全面了解和掌握的为优，得1</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 xml:space="preserve">分； </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对渔业船舶检验工作情况基本了解的为良，得</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分；</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对渔业船舶检验工作情况了解和熟悉程度一般的为中，得</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分；</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无提供不得分。</w:t>
            </w:r>
          </w:p>
        </w:tc>
        <w:tc>
          <w:tcPr>
            <w:tcW w:w="1030" w:type="dxa"/>
            <w:vAlign w:val="center"/>
          </w:tcPr>
          <w:p>
            <w:pPr>
              <w:snapToGrid w:val="0"/>
              <w:spacing w:line="240" w:lineRule="auto"/>
              <w:ind w:left="0" w:leftChars="0" w:right="0" w:rightChars="0"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15</w:t>
            </w:r>
          </w:p>
        </w:tc>
        <w:tc>
          <w:tcPr>
            <w:tcW w:w="910" w:type="dxa"/>
            <w:vAlign w:val="center"/>
          </w:tcPr>
          <w:p>
            <w:pPr>
              <w:snapToGrid w:val="0"/>
              <w:spacing w:line="240" w:lineRule="auto"/>
              <w:ind w:left="0" w:leftChars="0" w:right="0" w:rightChars="0"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 w:type="dxa"/>
            <w:vAlign w:val="center"/>
          </w:tcPr>
          <w:p>
            <w:pPr>
              <w:pStyle w:val="5"/>
              <w:numPr>
                <w:ilvl w:val="0"/>
                <w:numId w:val="1"/>
              </w:numPr>
              <w:snapToGrid w:val="0"/>
              <w:spacing w:line="240" w:lineRule="auto"/>
              <w:ind w:left="0" w:leftChars="0" w:right="0" w:rightChars="0" w:firstLine="0" w:firstLineChars="0"/>
              <w:jc w:val="left"/>
              <w:rPr>
                <w:rFonts w:ascii="宋体" w:hAnsi="宋体" w:eastAsia="宋体"/>
                <w:color w:val="auto"/>
                <w:sz w:val="24"/>
                <w:szCs w:val="24"/>
              </w:rPr>
            </w:pPr>
          </w:p>
        </w:tc>
        <w:tc>
          <w:tcPr>
            <w:tcW w:w="1553" w:type="dxa"/>
            <w:vAlign w:val="center"/>
          </w:tcPr>
          <w:p>
            <w:pPr>
              <w:snapToGrid w:val="0"/>
              <w:spacing w:line="240" w:lineRule="auto"/>
              <w:ind w:left="0" w:leftChars="0" w:right="0" w:rightChars="0" w:firstLine="0" w:firstLineChars="0"/>
              <w:jc w:val="left"/>
              <w:rPr>
                <w:rFonts w:hint="eastAsia" w:ascii="宋体" w:hAnsi="宋体" w:eastAsia="宋体"/>
                <w:color w:val="auto"/>
                <w:sz w:val="24"/>
                <w:szCs w:val="24"/>
              </w:rPr>
            </w:pPr>
            <w:r>
              <w:rPr>
                <w:rFonts w:hint="eastAsia" w:ascii="宋体" w:hAnsi="宋体" w:eastAsia="宋体"/>
                <w:color w:val="auto"/>
                <w:sz w:val="24"/>
                <w:szCs w:val="24"/>
              </w:rPr>
              <w:t>检验工作实施方案</w:t>
            </w:r>
          </w:p>
        </w:tc>
        <w:tc>
          <w:tcPr>
            <w:tcW w:w="41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根据项目服务需求，</w:t>
            </w:r>
            <w:r>
              <w:rPr>
                <w:rFonts w:hint="eastAsia" w:ascii="宋体" w:hAnsi="宋体" w:eastAsia="宋体"/>
                <w:color w:val="auto"/>
                <w:sz w:val="24"/>
                <w:szCs w:val="24"/>
                <w:lang w:val="en-US" w:eastAsia="zh-CN"/>
              </w:rPr>
              <w:t>投标人</w:t>
            </w:r>
            <w:r>
              <w:rPr>
                <w:rFonts w:hint="eastAsia" w:ascii="宋体" w:hAnsi="宋体" w:eastAsia="宋体"/>
                <w:color w:val="auto"/>
                <w:sz w:val="24"/>
                <w:szCs w:val="24"/>
              </w:rPr>
              <w:t>针对本项目制订详细的检验工作实施方案（含进度计划安排、人员投入、工作流程、工作标准等）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根据</w:t>
            </w:r>
            <w:r>
              <w:rPr>
                <w:rFonts w:hint="eastAsia" w:ascii="宋体" w:hAnsi="宋体" w:eastAsia="宋体"/>
                <w:color w:val="auto"/>
                <w:sz w:val="24"/>
                <w:szCs w:val="24"/>
                <w:lang w:val="en-US" w:eastAsia="zh-CN"/>
              </w:rPr>
              <w:t>投标人</w:t>
            </w:r>
            <w:r>
              <w:rPr>
                <w:rFonts w:hint="eastAsia" w:ascii="宋体" w:hAnsi="宋体" w:eastAsia="宋体"/>
                <w:color w:val="auto"/>
                <w:sz w:val="24"/>
                <w:szCs w:val="24"/>
              </w:rPr>
              <w:t>在</w:t>
            </w:r>
            <w:r>
              <w:rPr>
                <w:rFonts w:hint="eastAsia" w:ascii="宋体" w:hAnsi="宋体" w:eastAsia="宋体"/>
                <w:color w:val="auto"/>
                <w:sz w:val="24"/>
                <w:szCs w:val="24"/>
                <w:lang w:val="en-US" w:eastAsia="zh-CN"/>
              </w:rPr>
              <w:t>投标</w:t>
            </w:r>
            <w:r>
              <w:rPr>
                <w:rFonts w:hint="eastAsia" w:ascii="宋体" w:hAnsi="宋体" w:eastAsia="宋体"/>
                <w:color w:val="auto"/>
                <w:sz w:val="24"/>
                <w:szCs w:val="24"/>
              </w:rPr>
              <w:t>文件中提供的检验工作实施方案的详细程度、合理性进行评分：</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检验工作实施方案最详细、针对性强、合理性高的为优，得15分；</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检验工作实施方案较详细，针对性较强、合理性较高的为良，得10分；</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检验工作实施方案较详细，但是针对性、合理性一般的为中，得5分；</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检验工作实施方案详细性较差，针对性、合理性差的为一般，得1分；</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无提供不得分。</w:t>
            </w:r>
          </w:p>
        </w:tc>
        <w:tc>
          <w:tcPr>
            <w:tcW w:w="1030" w:type="dxa"/>
            <w:vAlign w:val="center"/>
          </w:tcPr>
          <w:p>
            <w:pPr>
              <w:snapToGrid w:val="0"/>
              <w:spacing w:line="240" w:lineRule="auto"/>
              <w:ind w:left="0" w:leftChars="0" w:right="0" w:rightChars="0"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5</w:t>
            </w:r>
          </w:p>
        </w:tc>
        <w:tc>
          <w:tcPr>
            <w:tcW w:w="910" w:type="dxa"/>
            <w:vAlign w:val="center"/>
          </w:tcPr>
          <w:p>
            <w:pPr>
              <w:snapToGrid w:val="0"/>
              <w:spacing w:line="240" w:lineRule="auto"/>
              <w:ind w:left="0" w:leftChars="0" w:right="0" w:rightChars="0"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0" w:hRule="atLeast"/>
          <w:jc w:val="center"/>
        </w:trPr>
        <w:tc>
          <w:tcPr>
            <w:tcW w:w="900" w:type="dxa"/>
            <w:vAlign w:val="center"/>
          </w:tcPr>
          <w:p>
            <w:pPr>
              <w:pStyle w:val="5"/>
              <w:numPr>
                <w:ilvl w:val="0"/>
                <w:numId w:val="1"/>
              </w:numPr>
              <w:snapToGrid w:val="0"/>
              <w:spacing w:line="240" w:lineRule="auto"/>
              <w:ind w:left="0" w:leftChars="0" w:right="0" w:rightChars="0" w:firstLine="0" w:firstLineChars="0"/>
              <w:jc w:val="left"/>
              <w:rPr>
                <w:rFonts w:ascii="宋体" w:hAnsi="宋体" w:eastAsia="宋体"/>
                <w:color w:val="auto"/>
                <w:sz w:val="24"/>
                <w:szCs w:val="24"/>
              </w:rPr>
            </w:pPr>
          </w:p>
        </w:tc>
        <w:tc>
          <w:tcPr>
            <w:tcW w:w="1553" w:type="dxa"/>
            <w:vAlign w:val="center"/>
          </w:tcPr>
          <w:p>
            <w:pPr>
              <w:snapToGrid w:val="0"/>
              <w:spacing w:line="240" w:lineRule="auto"/>
              <w:ind w:left="0" w:leftChars="0" w:right="0" w:rightChars="0" w:firstLine="0" w:firstLineChars="0"/>
              <w:jc w:val="left"/>
              <w:rPr>
                <w:rFonts w:hint="eastAsia" w:ascii="宋体" w:hAnsi="宋体" w:eastAsia="宋体"/>
                <w:color w:val="auto"/>
                <w:sz w:val="24"/>
                <w:szCs w:val="24"/>
              </w:rPr>
            </w:pPr>
            <w:r>
              <w:rPr>
                <w:rFonts w:hint="eastAsia" w:ascii="宋体" w:hAnsi="宋体" w:eastAsia="宋体"/>
                <w:color w:val="auto"/>
                <w:sz w:val="24"/>
                <w:szCs w:val="24"/>
              </w:rPr>
              <w:t>服务质量及保障措施</w:t>
            </w:r>
          </w:p>
        </w:tc>
        <w:tc>
          <w:tcPr>
            <w:tcW w:w="41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根据</w:t>
            </w:r>
            <w:r>
              <w:rPr>
                <w:rFonts w:hint="eastAsia" w:ascii="宋体" w:hAnsi="宋体" w:eastAsia="宋体"/>
                <w:color w:val="auto"/>
                <w:sz w:val="24"/>
                <w:szCs w:val="24"/>
                <w:lang w:val="en-US" w:eastAsia="zh-CN"/>
              </w:rPr>
              <w:t>投标人</w:t>
            </w:r>
            <w:r>
              <w:rPr>
                <w:rFonts w:hint="eastAsia" w:ascii="宋体" w:hAnsi="宋体" w:eastAsia="宋体"/>
                <w:color w:val="auto"/>
                <w:sz w:val="24"/>
                <w:szCs w:val="24"/>
              </w:rPr>
              <w:t>的服务质量及保障措施（包括但不限于服务质量及保障、工作成果目标的保障等内容）进行综合评价：</w:t>
            </w:r>
          </w:p>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服务质量及保障措施具体详 细、可操作性强的为优，得1</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分；</w:t>
            </w:r>
          </w:p>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服务质量及保障措施基本具体详细，有一定可操作性的为良，得</w:t>
            </w:r>
            <w:r>
              <w:rPr>
                <w:rFonts w:hint="eastAsia" w:ascii="宋体" w:hAnsi="宋体" w:eastAsia="宋体"/>
                <w:color w:val="auto"/>
                <w:sz w:val="24"/>
                <w:szCs w:val="24"/>
                <w:lang w:val="en-US" w:eastAsia="zh-CN"/>
              </w:rPr>
              <w:t>8</w:t>
            </w:r>
            <w:r>
              <w:rPr>
                <w:rFonts w:hint="eastAsia" w:ascii="宋体" w:hAnsi="宋体" w:eastAsia="宋体"/>
                <w:color w:val="auto"/>
                <w:sz w:val="24"/>
                <w:szCs w:val="24"/>
              </w:rPr>
              <w:t>分；</w:t>
            </w:r>
          </w:p>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服务质量及保障措施不够具体详细，没有可操作性的为一般，得</w:t>
            </w:r>
            <w:r>
              <w:rPr>
                <w:rFonts w:hint="eastAsia" w:ascii="宋体" w:hAnsi="宋体" w:eastAsia="宋体"/>
                <w:color w:val="auto"/>
                <w:sz w:val="24"/>
                <w:szCs w:val="24"/>
                <w:lang w:val="en-US" w:eastAsia="zh-CN"/>
              </w:rPr>
              <w:t>6</w:t>
            </w:r>
            <w:r>
              <w:rPr>
                <w:rFonts w:hint="eastAsia" w:ascii="宋体" w:hAnsi="宋体" w:eastAsia="宋体"/>
                <w:color w:val="auto"/>
                <w:sz w:val="24"/>
                <w:szCs w:val="24"/>
              </w:rPr>
              <w:t>分；</w:t>
            </w:r>
          </w:p>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无提供不得分。</w:t>
            </w:r>
          </w:p>
        </w:tc>
        <w:tc>
          <w:tcPr>
            <w:tcW w:w="1030" w:type="dxa"/>
            <w:vAlign w:val="center"/>
          </w:tcPr>
          <w:p>
            <w:pPr>
              <w:snapToGrid w:val="0"/>
              <w:spacing w:line="240" w:lineRule="auto"/>
              <w:ind w:left="0" w:leftChars="0" w:right="0" w:rightChars="0"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c>
          <w:tcPr>
            <w:tcW w:w="910" w:type="dxa"/>
            <w:vAlign w:val="center"/>
          </w:tcPr>
          <w:p>
            <w:pPr>
              <w:snapToGrid w:val="0"/>
              <w:spacing w:line="240" w:lineRule="auto"/>
              <w:ind w:left="0" w:leftChars="0" w:right="0" w:rightChars="0"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 w:type="dxa"/>
            <w:vAlign w:val="center"/>
          </w:tcPr>
          <w:p>
            <w:pPr>
              <w:pStyle w:val="5"/>
              <w:numPr>
                <w:ilvl w:val="0"/>
                <w:numId w:val="1"/>
              </w:numPr>
              <w:snapToGrid w:val="0"/>
              <w:spacing w:line="240" w:lineRule="auto"/>
              <w:ind w:left="0" w:leftChars="0" w:right="0" w:rightChars="0" w:firstLine="0" w:firstLineChars="0"/>
              <w:jc w:val="left"/>
              <w:rPr>
                <w:rFonts w:ascii="宋体" w:hAnsi="宋体" w:eastAsia="宋体"/>
                <w:color w:val="auto"/>
                <w:sz w:val="24"/>
                <w:szCs w:val="24"/>
              </w:rPr>
            </w:pPr>
          </w:p>
        </w:tc>
        <w:tc>
          <w:tcPr>
            <w:tcW w:w="1553" w:type="dxa"/>
            <w:vAlign w:val="center"/>
          </w:tcPr>
          <w:p>
            <w:pPr>
              <w:snapToGrid w:val="0"/>
              <w:spacing w:line="240" w:lineRule="auto"/>
              <w:ind w:left="0" w:leftChars="0" w:right="0" w:rightChars="0" w:firstLine="0" w:firstLineChars="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后续服务方案</w:t>
            </w:r>
          </w:p>
        </w:tc>
        <w:tc>
          <w:tcPr>
            <w:tcW w:w="41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对</w:t>
            </w:r>
            <w:r>
              <w:rPr>
                <w:rFonts w:hint="eastAsia" w:ascii="宋体" w:hAnsi="宋体" w:eastAsia="宋体"/>
                <w:color w:val="auto"/>
                <w:sz w:val="24"/>
                <w:szCs w:val="24"/>
                <w:lang w:val="en-US" w:eastAsia="zh-CN"/>
              </w:rPr>
              <w:t>投标人</w:t>
            </w:r>
            <w:r>
              <w:rPr>
                <w:rFonts w:hint="eastAsia" w:ascii="宋体" w:hAnsi="宋体" w:eastAsia="宋体"/>
                <w:color w:val="auto"/>
                <w:sz w:val="24"/>
                <w:szCs w:val="24"/>
              </w:rPr>
              <w:t>后续服务（技术支持、后续承诺、服务响应时间等）方案详细程度、针对性、合理性情况进行评分：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后续服务方案最详细、针对性强、合理性高的为优，得1</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后续服务方案较详细，针对性较强、合理性 较高的为良，得</w:t>
            </w:r>
            <w:r>
              <w:rPr>
                <w:rFonts w:hint="eastAsia" w:ascii="宋体" w:hAnsi="宋体" w:eastAsia="宋体"/>
                <w:color w:val="auto"/>
                <w:sz w:val="24"/>
                <w:szCs w:val="24"/>
                <w:lang w:val="en-US" w:eastAsia="zh-CN"/>
              </w:rPr>
              <w:t>8</w:t>
            </w:r>
            <w:r>
              <w:rPr>
                <w:rFonts w:hint="eastAsia" w:ascii="宋体" w:hAnsi="宋体" w:eastAsia="宋体"/>
                <w:color w:val="auto"/>
                <w:sz w:val="24"/>
                <w:szCs w:val="24"/>
              </w:rPr>
              <w:t>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后续服务方案详细程度一般，针对性、合理性一般 的为中，得</w:t>
            </w:r>
            <w:r>
              <w:rPr>
                <w:rFonts w:hint="eastAsia" w:ascii="宋体" w:hAnsi="宋体" w:eastAsia="宋体"/>
                <w:color w:val="auto"/>
                <w:sz w:val="24"/>
                <w:szCs w:val="24"/>
                <w:lang w:val="en-US" w:eastAsia="zh-CN"/>
              </w:rPr>
              <w:t>6</w:t>
            </w:r>
            <w:r>
              <w:rPr>
                <w:rFonts w:hint="eastAsia" w:ascii="宋体" w:hAnsi="宋体" w:eastAsia="宋体"/>
                <w:color w:val="auto"/>
                <w:sz w:val="24"/>
                <w:szCs w:val="24"/>
              </w:rPr>
              <w:t>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right="0" w:rightChars="0" w:firstLine="0" w:firstLineChars="0"/>
              <w:jc w:val="left"/>
              <w:textAlignment w:val="baseline"/>
              <w:rPr>
                <w:rFonts w:hint="eastAsia" w:ascii="宋体" w:hAnsi="宋体" w:eastAsia="宋体"/>
                <w:color w:val="auto"/>
                <w:sz w:val="24"/>
                <w:szCs w:val="24"/>
              </w:rPr>
            </w:pPr>
            <w:r>
              <w:rPr>
                <w:rFonts w:hint="eastAsia" w:ascii="宋体" w:hAnsi="宋体" w:eastAsia="宋体"/>
                <w:color w:val="auto"/>
                <w:sz w:val="24"/>
                <w:szCs w:val="24"/>
              </w:rPr>
              <w:t>无提供不得分。</w:t>
            </w:r>
          </w:p>
        </w:tc>
        <w:tc>
          <w:tcPr>
            <w:tcW w:w="1030" w:type="dxa"/>
            <w:vAlign w:val="center"/>
          </w:tcPr>
          <w:p>
            <w:pPr>
              <w:snapToGrid w:val="0"/>
              <w:spacing w:line="240" w:lineRule="auto"/>
              <w:ind w:left="0" w:leftChars="0" w:right="0" w:rightChars="0"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c>
          <w:tcPr>
            <w:tcW w:w="910" w:type="dxa"/>
            <w:vAlign w:val="center"/>
          </w:tcPr>
          <w:p>
            <w:pPr>
              <w:snapToGrid w:val="0"/>
              <w:spacing w:line="240" w:lineRule="auto"/>
              <w:ind w:left="0" w:leftChars="0" w:right="0" w:rightChars="0"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900" w:type="dxa"/>
            <w:vAlign w:val="center"/>
          </w:tcPr>
          <w:p>
            <w:pPr>
              <w:snapToGrid w:val="0"/>
              <w:spacing w:line="240" w:lineRule="auto"/>
              <w:ind w:left="0" w:leftChars="0" w:right="0" w:rightChars="0" w:firstLine="0" w:firstLineChars="0"/>
              <w:jc w:val="center"/>
              <w:rPr>
                <w:rFonts w:ascii="宋体" w:hAnsi="宋体"/>
                <w:b/>
                <w:color w:val="auto"/>
                <w:sz w:val="24"/>
                <w:szCs w:val="24"/>
              </w:rPr>
            </w:pPr>
            <w:r>
              <w:rPr>
                <w:rFonts w:hint="eastAsia" w:ascii="宋体" w:hAnsi="宋体"/>
                <w:b/>
                <w:color w:val="auto"/>
                <w:sz w:val="24"/>
                <w:szCs w:val="24"/>
              </w:rPr>
              <w:t>二</w:t>
            </w:r>
          </w:p>
        </w:tc>
        <w:tc>
          <w:tcPr>
            <w:tcW w:w="7622" w:type="dxa"/>
            <w:gridSpan w:val="4"/>
            <w:vAlign w:val="center"/>
          </w:tcPr>
          <w:p>
            <w:pPr>
              <w:snapToGrid w:val="0"/>
              <w:spacing w:line="240" w:lineRule="auto"/>
              <w:ind w:left="0" w:leftChars="0" w:right="0" w:rightChars="0" w:firstLine="0" w:firstLineChars="0"/>
              <w:jc w:val="center"/>
              <w:rPr>
                <w:rFonts w:ascii="宋体" w:hAnsi="宋体" w:cs="宋体"/>
                <w:b/>
                <w:color w:val="auto"/>
                <w:sz w:val="24"/>
                <w:szCs w:val="24"/>
              </w:rPr>
            </w:pPr>
            <w:r>
              <w:rPr>
                <w:rFonts w:hint="eastAsia" w:ascii="宋体" w:hAnsi="宋体"/>
                <w:b/>
                <w:color w:val="auto"/>
                <w:sz w:val="24"/>
                <w:szCs w:val="24"/>
              </w:rPr>
              <w:t>商务部分（合计</w:t>
            </w:r>
            <w:r>
              <w:rPr>
                <w:rFonts w:hint="eastAsia" w:ascii="宋体" w:hAnsi="宋体"/>
                <w:b/>
                <w:color w:val="auto"/>
                <w:sz w:val="24"/>
                <w:szCs w:val="24"/>
                <w:lang w:val="en-US" w:eastAsia="zh-CN"/>
              </w:rPr>
              <w:t>30</w:t>
            </w:r>
            <w:r>
              <w:rPr>
                <w:rFonts w:hint="eastAsia" w:ascii="宋体" w:hAnsi="宋体"/>
                <w:b/>
                <w:color w:val="auto"/>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 w:type="dxa"/>
            <w:vAlign w:val="center"/>
          </w:tcPr>
          <w:p>
            <w:pPr>
              <w:pStyle w:val="5"/>
              <w:numPr>
                <w:ilvl w:val="0"/>
                <w:numId w:val="6"/>
              </w:numPr>
              <w:snapToGrid w:val="0"/>
              <w:spacing w:line="240" w:lineRule="auto"/>
              <w:ind w:left="0" w:leftChars="0" w:right="0" w:rightChars="0" w:firstLine="0" w:firstLineChars="0"/>
              <w:jc w:val="left"/>
              <w:rPr>
                <w:rFonts w:ascii="宋体" w:hAnsi="宋体" w:eastAsia="宋体"/>
                <w:color w:val="auto"/>
                <w:sz w:val="24"/>
                <w:szCs w:val="24"/>
              </w:rPr>
            </w:pPr>
          </w:p>
        </w:tc>
        <w:tc>
          <w:tcPr>
            <w:tcW w:w="1553" w:type="dxa"/>
            <w:vAlign w:val="center"/>
          </w:tcPr>
          <w:p>
            <w:pPr>
              <w:snapToGrid w:val="0"/>
              <w:spacing w:line="240" w:lineRule="auto"/>
              <w:ind w:left="0" w:leftChars="0" w:right="0" w:rightChars="0" w:firstLine="0" w:firstLineChars="0"/>
              <w:jc w:val="left"/>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2019</w:t>
            </w:r>
            <w:r>
              <w:rPr>
                <w:rFonts w:hint="eastAsia" w:ascii="宋体" w:hAnsi="宋体" w:eastAsia="宋体" w:cs="宋体"/>
                <w:color w:val="auto"/>
                <w:sz w:val="24"/>
                <w:szCs w:val="24"/>
                <w:u w:val="none"/>
              </w:rPr>
              <w:t>年至今同类业绩经验</w:t>
            </w:r>
          </w:p>
        </w:tc>
        <w:tc>
          <w:tcPr>
            <w:tcW w:w="4129" w:type="dxa"/>
            <w:vAlign w:val="center"/>
          </w:tcPr>
          <w:p>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投标人2019年至今具有已完成的渔业船舶检验、核查项目类似业绩，每提供一个得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分，最高得1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分，没有不得分。 </w:t>
            </w:r>
          </w:p>
          <w:p>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注：请附上合同关键页（含签订合同双方的单位名称、合同项目名称、项目金额与含签订合同双方的落款盖章、签订日期的关键页）复印件作为同类业绩评价证明资料。</w:t>
            </w:r>
          </w:p>
        </w:tc>
        <w:tc>
          <w:tcPr>
            <w:tcW w:w="1030" w:type="dxa"/>
            <w:vAlign w:val="center"/>
          </w:tcPr>
          <w:p>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910" w:type="dxa"/>
            <w:vAlign w:val="center"/>
          </w:tcPr>
          <w:p>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 w:type="dxa"/>
            <w:vAlign w:val="center"/>
          </w:tcPr>
          <w:p>
            <w:pPr>
              <w:pStyle w:val="5"/>
              <w:numPr>
                <w:ilvl w:val="0"/>
                <w:numId w:val="6"/>
              </w:numPr>
              <w:snapToGrid w:val="0"/>
              <w:spacing w:line="240" w:lineRule="auto"/>
              <w:ind w:left="0" w:leftChars="0" w:right="0" w:rightChars="0" w:firstLine="0" w:firstLineChars="0"/>
              <w:jc w:val="left"/>
              <w:rPr>
                <w:rFonts w:ascii="宋体" w:hAnsi="宋体" w:eastAsia="宋体"/>
                <w:color w:val="auto"/>
                <w:sz w:val="24"/>
                <w:szCs w:val="24"/>
              </w:rPr>
            </w:pPr>
          </w:p>
        </w:tc>
        <w:tc>
          <w:tcPr>
            <w:tcW w:w="1553" w:type="dxa"/>
            <w:vAlign w:val="center"/>
          </w:tcPr>
          <w:p>
            <w:pPr>
              <w:snapToGrid w:val="0"/>
              <w:spacing w:line="240" w:lineRule="auto"/>
              <w:ind w:left="0" w:leftChars="0" w:right="0" w:rightChars="0" w:firstLine="0" w:firstLineChars="0"/>
              <w:jc w:val="left"/>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拟投入人员情况</w:t>
            </w:r>
          </w:p>
        </w:tc>
        <w:tc>
          <w:tcPr>
            <w:tcW w:w="4129" w:type="dxa"/>
            <w:vAlign w:val="center"/>
          </w:tcPr>
          <w:p>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对投标人拟投入的专职检验人员进行评分：</w:t>
            </w:r>
          </w:p>
          <w:p>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1.拟派项目负责人具备注册验船师职业资格（B级或以上）得2分，具有船舶检验工作5年以上（含5年）的得2分，本小项最高得 </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分。</w:t>
            </w:r>
          </w:p>
          <w:p>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2.服务团队人员（不含项目负责人）具有注册验船师职业资格，每提供一人得2分，本小项最高得 </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 xml:space="preserve">分。 </w:t>
            </w:r>
          </w:p>
          <w:p>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注：提供检验人员资质证书及其投标截止时间前在本单位近</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个月内任意一个月社保缴纳证明，无提供不得分。</w:t>
            </w:r>
          </w:p>
        </w:tc>
        <w:tc>
          <w:tcPr>
            <w:tcW w:w="1030" w:type="dxa"/>
            <w:vAlign w:val="center"/>
          </w:tcPr>
          <w:p>
            <w:pPr>
              <w:snapToGrid w:val="0"/>
              <w:spacing w:line="240" w:lineRule="auto"/>
              <w:ind w:left="0" w:leftChars="0" w:right="0" w:rightChars="0"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910" w:type="dxa"/>
            <w:vAlign w:val="center"/>
          </w:tcPr>
          <w:p>
            <w:pPr>
              <w:snapToGrid w:val="0"/>
              <w:spacing w:line="240" w:lineRule="auto"/>
              <w:ind w:left="0" w:leftChars="0" w:right="0" w:rightChars="0"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900" w:type="dxa"/>
            <w:vAlign w:val="center"/>
          </w:tcPr>
          <w:p>
            <w:pPr>
              <w:snapToGrid w:val="0"/>
              <w:spacing w:line="240" w:lineRule="auto"/>
              <w:ind w:left="0" w:leftChars="0" w:right="0" w:rightChars="0" w:firstLine="0" w:firstLineChars="0"/>
              <w:jc w:val="center"/>
              <w:rPr>
                <w:rFonts w:ascii="宋体" w:hAnsi="宋体"/>
                <w:color w:val="auto"/>
                <w:sz w:val="24"/>
                <w:szCs w:val="24"/>
              </w:rPr>
            </w:pPr>
            <w:r>
              <w:rPr>
                <w:rFonts w:hint="eastAsia" w:ascii="宋体" w:hAnsi="宋体"/>
                <w:color w:val="auto"/>
                <w:sz w:val="24"/>
                <w:szCs w:val="24"/>
              </w:rPr>
              <w:t>三</w:t>
            </w:r>
          </w:p>
        </w:tc>
        <w:tc>
          <w:tcPr>
            <w:tcW w:w="7622" w:type="dxa"/>
            <w:gridSpan w:val="4"/>
            <w:vAlign w:val="center"/>
          </w:tcPr>
          <w:p>
            <w:pPr>
              <w:snapToGrid w:val="0"/>
              <w:spacing w:line="240" w:lineRule="auto"/>
              <w:ind w:left="0" w:leftChars="0" w:right="0" w:rightChars="0" w:firstLine="0" w:firstLineChars="0"/>
              <w:jc w:val="center"/>
              <w:rPr>
                <w:rFonts w:ascii="宋体" w:hAnsi="宋体"/>
                <w:b/>
                <w:color w:val="auto"/>
                <w:sz w:val="24"/>
                <w:szCs w:val="24"/>
              </w:rPr>
            </w:pPr>
            <w:r>
              <w:rPr>
                <w:rFonts w:hint="eastAsia" w:ascii="宋体" w:hAnsi="宋体"/>
                <w:b/>
                <w:color w:val="auto"/>
                <w:sz w:val="24"/>
                <w:szCs w:val="24"/>
              </w:rPr>
              <w:t>价格部分（合计</w:t>
            </w:r>
            <w:r>
              <w:rPr>
                <w:rFonts w:hint="eastAsia" w:ascii="宋体" w:hAnsi="宋体"/>
                <w:b/>
                <w:color w:val="auto"/>
                <w:sz w:val="24"/>
                <w:szCs w:val="24"/>
                <w:lang w:val="en-US" w:eastAsia="zh-CN"/>
              </w:rPr>
              <w:t>20</w:t>
            </w:r>
            <w:r>
              <w:rPr>
                <w:rFonts w:hint="eastAsia" w:ascii="宋体" w:hAnsi="宋体"/>
                <w:b/>
                <w:color w:val="auto"/>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00" w:type="dxa"/>
            <w:vAlign w:val="center"/>
          </w:tcPr>
          <w:p>
            <w:pPr>
              <w:pStyle w:val="5"/>
              <w:numPr>
                <w:ilvl w:val="0"/>
                <w:numId w:val="7"/>
              </w:numPr>
              <w:snapToGrid w:val="0"/>
              <w:spacing w:line="240" w:lineRule="auto"/>
              <w:ind w:left="0" w:leftChars="0" w:right="0" w:rightChars="0" w:firstLine="0" w:firstLineChars="0"/>
              <w:jc w:val="center"/>
              <w:rPr>
                <w:rFonts w:ascii="宋体" w:hAnsi="宋体"/>
                <w:color w:val="auto"/>
                <w:sz w:val="24"/>
                <w:szCs w:val="24"/>
              </w:rPr>
            </w:pPr>
          </w:p>
        </w:tc>
        <w:tc>
          <w:tcPr>
            <w:tcW w:w="1553" w:type="dxa"/>
            <w:vAlign w:val="center"/>
          </w:tcPr>
          <w:p>
            <w:pPr>
              <w:snapToGrid w:val="0"/>
              <w:spacing w:line="240" w:lineRule="auto"/>
              <w:ind w:left="0" w:leftChars="0" w:right="0" w:rightChars="0" w:firstLine="0" w:firstLineChars="0"/>
              <w:jc w:val="center"/>
              <w:rPr>
                <w:rFonts w:ascii="宋体" w:hAnsi="宋体"/>
                <w:color w:val="auto"/>
                <w:sz w:val="24"/>
                <w:szCs w:val="24"/>
              </w:rPr>
            </w:pPr>
            <w:r>
              <w:rPr>
                <w:rFonts w:hint="eastAsia" w:ascii="宋体" w:hAnsi="宋体"/>
                <w:color w:val="auto"/>
                <w:sz w:val="24"/>
                <w:szCs w:val="24"/>
              </w:rPr>
              <w:t>投标报价</w:t>
            </w:r>
          </w:p>
        </w:tc>
        <w:tc>
          <w:tcPr>
            <w:tcW w:w="4129" w:type="dxa"/>
            <w:vAlign w:val="center"/>
          </w:tcPr>
          <w:p>
            <w:pPr>
              <w:autoSpaceDE w:val="0"/>
              <w:autoSpaceDN w:val="0"/>
              <w:snapToGrid w:val="0"/>
              <w:spacing w:line="240" w:lineRule="auto"/>
              <w:ind w:left="0" w:leftChars="0" w:right="0" w:rightChars="0" w:firstLine="0" w:firstLineChars="0"/>
              <w:jc w:val="center"/>
              <w:rPr>
                <w:rFonts w:ascii="宋体" w:hAnsi="宋体" w:cs="宋体"/>
                <w:color w:val="auto"/>
                <w:sz w:val="24"/>
                <w:szCs w:val="24"/>
              </w:rPr>
            </w:pPr>
            <w:r>
              <w:rPr>
                <w:rFonts w:ascii="宋体" w:hAnsi="宋体" w:cs="宋体"/>
                <w:color w:val="auto"/>
                <w:sz w:val="24"/>
                <w:szCs w:val="24"/>
              </w:rPr>
              <w:t>价格分</w:t>
            </w:r>
            <w:r>
              <w:rPr>
                <w:rFonts w:hint="eastAsia" w:ascii="宋体" w:hAnsi="宋体" w:cs="宋体"/>
                <w:color w:val="auto"/>
                <w:sz w:val="24"/>
                <w:szCs w:val="24"/>
              </w:rPr>
              <w:t>应当采用低价优先法计算，即满足招标文件要求且投标价格最低的投标报价为评标基准价，其价格分为满分。其他投标人的价格分统一按照下列公式计算：</w:t>
            </w:r>
          </w:p>
          <w:p>
            <w:pPr>
              <w:widowControl/>
              <w:snapToGrid w:val="0"/>
              <w:spacing w:line="240" w:lineRule="auto"/>
              <w:ind w:left="0" w:leftChars="0" w:right="0" w:rightChars="0" w:firstLine="0" w:firstLineChars="0"/>
              <w:jc w:val="center"/>
              <w:rPr>
                <w:rFonts w:ascii="宋体" w:hAnsi="宋体" w:cs="宋体"/>
                <w:color w:val="auto"/>
                <w:sz w:val="24"/>
                <w:szCs w:val="24"/>
              </w:rPr>
            </w:pPr>
            <w:r>
              <w:rPr>
                <w:rFonts w:hint="eastAsia" w:ascii="宋体" w:hAnsi="宋体" w:cs="宋体"/>
                <w:color w:val="auto"/>
                <w:sz w:val="24"/>
                <w:szCs w:val="24"/>
              </w:rPr>
              <w:t>投标报价得分=(评标基准价／投标报价)×100×权重</w:t>
            </w:r>
          </w:p>
          <w:p>
            <w:pPr>
              <w:widowControl/>
              <w:snapToGrid w:val="0"/>
              <w:spacing w:line="240" w:lineRule="auto"/>
              <w:ind w:left="0" w:leftChars="0" w:right="0" w:rightChars="0" w:firstLine="0" w:firstLineChars="0"/>
              <w:jc w:val="center"/>
              <w:rPr>
                <w:rFonts w:ascii="宋体" w:hAnsi="宋体"/>
                <w:bCs/>
                <w:color w:val="auto"/>
                <w:sz w:val="24"/>
                <w:szCs w:val="24"/>
              </w:rPr>
            </w:pPr>
            <w:r>
              <w:rPr>
                <w:rFonts w:hint="eastAsia" w:ascii="宋体" w:hAnsi="宋体"/>
                <w:bCs/>
                <w:color w:val="auto"/>
                <w:sz w:val="24"/>
                <w:szCs w:val="24"/>
              </w:rPr>
              <w:t>备注：</w:t>
            </w:r>
          </w:p>
          <w:p>
            <w:pPr>
              <w:pStyle w:val="5"/>
              <w:numPr>
                <w:ilvl w:val="0"/>
                <w:numId w:val="8"/>
              </w:numPr>
              <w:snapToGrid w:val="0"/>
              <w:spacing w:line="240" w:lineRule="auto"/>
              <w:ind w:left="0" w:leftChars="0" w:right="0" w:rightChars="0" w:firstLine="0" w:firstLineChars="0"/>
              <w:jc w:val="center"/>
              <w:rPr>
                <w:rFonts w:ascii="宋体" w:hAnsi="宋体"/>
                <w:bCs/>
                <w:color w:val="auto"/>
                <w:sz w:val="24"/>
                <w:szCs w:val="24"/>
              </w:rPr>
            </w:pPr>
            <w:r>
              <w:rPr>
                <w:rFonts w:hint="eastAsia" w:ascii="宋体" w:hAnsi="宋体"/>
                <w:bCs/>
                <w:color w:val="auto"/>
                <w:sz w:val="24"/>
                <w:szCs w:val="24"/>
              </w:rPr>
              <w:t>投标报价得分四舍五入后，</w:t>
            </w:r>
            <w:r>
              <w:rPr>
                <w:rFonts w:hint="eastAsia" w:ascii="宋体" w:hAnsi="宋体" w:cs="Arial"/>
                <w:color w:val="auto"/>
                <w:sz w:val="24"/>
                <w:szCs w:val="24"/>
              </w:rPr>
              <w:t>小数点后保留2位有效数</w:t>
            </w:r>
            <w:r>
              <w:rPr>
                <w:rFonts w:hint="eastAsia" w:ascii="宋体" w:hAnsi="宋体"/>
                <w:bCs/>
                <w:color w:val="auto"/>
                <w:sz w:val="24"/>
                <w:szCs w:val="24"/>
              </w:rPr>
              <w:t>；</w:t>
            </w:r>
          </w:p>
        </w:tc>
        <w:tc>
          <w:tcPr>
            <w:tcW w:w="1030" w:type="dxa"/>
            <w:vAlign w:val="center"/>
          </w:tcPr>
          <w:p>
            <w:pPr>
              <w:snapToGrid w:val="0"/>
              <w:spacing w:line="240" w:lineRule="auto"/>
              <w:ind w:left="0" w:leftChars="0" w:right="0" w:rightChars="0"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910" w:type="dxa"/>
            <w:vAlign w:val="center"/>
          </w:tcPr>
          <w:p>
            <w:pPr>
              <w:snapToGrid w:val="0"/>
              <w:spacing w:line="240" w:lineRule="auto"/>
              <w:ind w:left="0" w:leftChars="0" w:right="0" w:rightChars="0"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582" w:type="dxa"/>
            <w:gridSpan w:val="3"/>
            <w:vAlign w:val="center"/>
          </w:tcPr>
          <w:p>
            <w:pPr>
              <w:snapToGrid w:val="0"/>
              <w:spacing w:line="240" w:lineRule="auto"/>
              <w:ind w:left="0" w:leftChars="0" w:right="0" w:rightChars="0" w:firstLine="0" w:firstLineChars="0"/>
              <w:jc w:val="center"/>
              <w:rPr>
                <w:rFonts w:ascii="宋体" w:hAnsi="宋体" w:eastAsia="宋体" w:cs="宋体"/>
                <w:b/>
                <w:color w:val="auto"/>
                <w:sz w:val="24"/>
                <w:szCs w:val="24"/>
              </w:rPr>
            </w:pPr>
            <w:r>
              <w:rPr>
                <w:rFonts w:hint="eastAsia" w:ascii="宋体" w:hAnsi="宋体" w:eastAsia="宋体"/>
                <w:b/>
                <w:color w:val="auto"/>
                <w:sz w:val="24"/>
                <w:szCs w:val="24"/>
              </w:rPr>
              <w:t>合计</w:t>
            </w:r>
          </w:p>
        </w:tc>
        <w:tc>
          <w:tcPr>
            <w:tcW w:w="1030" w:type="dxa"/>
            <w:vAlign w:val="center"/>
          </w:tcPr>
          <w:p>
            <w:pPr>
              <w:snapToGrid w:val="0"/>
              <w:spacing w:line="240" w:lineRule="auto"/>
              <w:ind w:left="0" w:leftChars="0" w:right="0" w:rightChars="0" w:firstLine="0" w:firstLineChars="0"/>
              <w:jc w:val="right"/>
              <w:rPr>
                <w:rFonts w:ascii="宋体" w:hAnsi="宋体" w:eastAsia="宋体" w:cs="宋体"/>
                <w:b/>
                <w:color w:val="auto"/>
                <w:sz w:val="24"/>
                <w:szCs w:val="24"/>
              </w:rPr>
            </w:pPr>
            <w:r>
              <w:rPr>
                <w:rFonts w:hint="eastAsia" w:ascii="宋体" w:hAnsi="宋体" w:eastAsia="宋体" w:cs="宋体"/>
                <w:b/>
                <w:color w:val="auto"/>
                <w:sz w:val="24"/>
                <w:szCs w:val="24"/>
              </w:rPr>
              <w:t>100分</w:t>
            </w:r>
          </w:p>
        </w:tc>
        <w:tc>
          <w:tcPr>
            <w:tcW w:w="910" w:type="dxa"/>
            <w:vAlign w:val="center"/>
          </w:tcPr>
          <w:p>
            <w:pPr>
              <w:snapToGrid w:val="0"/>
              <w:spacing w:line="240" w:lineRule="auto"/>
              <w:ind w:left="0" w:leftChars="0" w:right="0" w:rightChars="0" w:firstLine="0" w:firstLineChars="0"/>
              <w:jc w:val="center"/>
              <w:rPr>
                <w:rFonts w:ascii="宋体" w:hAnsi="宋体" w:eastAsia="宋体" w:cs="宋体"/>
                <w:b/>
                <w:color w:val="auto"/>
                <w:sz w:val="24"/>
                <w:szCs w:val="24"/>
              </w:rPr>
            </w:pPr>
            <w:r>
              <w:rPr>
                <w:rFonts w:hint="eastAsia" w:ascii="宋体" w:hAnsi="宋体" w:eastAsia="宋体" w:cs="宋体"/>
                <w:b/>
                <w:color w:val="auto"/>
                <w:sz w:val="24"/>
                <w:szCs w:val="24"/>
              </w:rPr>
              <w:t>100%</w:t>
            </w:r>
            <w:r>
              <w:rPr>
                <w:rFonts w:ascii="宋体" w:hAnsi="宋体" w:eastAsia="宋体" w:cs="宋体"/>
                <w:b/>
                <w:color w:val="auto"/>
                <w:sz w:val="24"/>
                <w:szCs w:val="24"/>
              </w:rPr>
              <w:t xml:space="preserve"> </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粗仿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D2389"/>
    <w:multiLevelType w:val="singleLevel"/>
    <w:tmpl w:val="C3BD2389"/>
    <w:lvl w:ilvl="0" w:tentative="0">
      <w:start w:val="1"/>
      <w:numFmt w:val="decimal"/>
      <w:suff w:val="nothing"/>
      <w:lvlText w:val="%1."/>
      <w:lvlJc w:val="left"/>
      <w:pPr>
        <w:ind w:left="425" w:hanging="425"/>
      </w:pPr>
      <w:rPr>
        <w:rFonts w:hint="default"/>
      </w:rPr>
    </w:lvl>
  </w:abstractNum>
  <w:abstractNum w:abstractNumId="1">
    <w:nsid w:val="D36A183D"/>
    <w:multiLevelType w:val="singleLevel"/>
    <w:tmpl w:val="D36A183D"/>
    <w:lvl w:ilvl="0" w:tentative="0">
      <w:start w:val="1"/>
      <w:numFmt w:val="decimal"/>
      <w:suff w:val="nothing"/>
      <w:lvlText w:val="%1."/>
      <w:lvlJc w:val="left"/>
      <w:pPr>
        <w:ind w:left="425" w:hanging="425"/>
      </w:pPr>
      <w:rPr>
        <w:rFonts w:hint="default"/>
      </w:rPr>
    </w:lvl>
  </w:abstractNum>
  <w:abstractNum w:abstractNumId="2">
    <w:nsid w:val="DBA914B0"/>
    <w:multiLevelType w:val="singleLevel"/>
    <w:tmpl w:val="DBA914B0"/>
    <w:lvl w:ilvl="0" w:tentative="0">
      <w:start w:val="1"/>
      <w:numFmt w:val="decimal"/>
      <w:suff w:val="nothing"/>
      <w:lvlText w:val="%1."/>
      <w:lvlJc w:val="left"/>
      <w:pPr>
        <w:ind w:left="425" w:hanging="425"/>
      </w:pPr>
      <w:rPr>
        <w:rFonts w:hint="default"/>
      </w:rPr>
    </w:lvl>
  </w:abstractNum>
  <w:abstractNum w:abstractNumId="3">
    <w:nsid w:val="DFA7C7EF"/>
    <w:multiLevelType w:val="singleLevel"/>
    <w:tmpl w:val="DFA7C7EF"/>
    <w:lvl w:ilvl="0" w:tentative="0">
      <w:start w:val="1"/>
      <w:numFmt w:val="decimal"/>
      <w:suff w:val="nothing"/>
      <w:lvlText w:val="%1."/>
      <w:lvlJc w:val="left"/>
      <w:pPr>
        <w:ind w:left="425" w:hanging="425"/>
      </w:pPr>
      <w:rPr>
        <w:rFonts w:hint="default"/>
      </w:rPr>
    </w:lvl>
  </w:abstractNum>
  <w:abstractNum w:abstractNumId="4">
    <w:nsid w:val="24714A5A"/>
    <w:multiLevelType w:val="multilevel"/>
    <w:tmpl w:val="24714A5A"/>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5E2112"/>
    <w:multiLevelType w:val="multilevel"/>
    <w:tmpl w:val="385E21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BF14F17"/>
    <w:multiLevelType w:val="multilevel"/>
    <w:tmpl w:val="6BF14F1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C73457C"/>
    <w:multiLevelType w:val="multilevel"/>
    <w:tmpl w:val="6C73457C"/>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3"/>
  </w:num>
  <w:num w:numId="3">
    <w:abstractNumId w:val="1"/>
  </w:num>
  <w:num w:numId="4">
    <w:abstractNumId w:val="2"/>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OTcwZjliMDU4NDc2OTIyZDIyMGFhNDZkOGJlNzUifQ=="/>
  </w:docVars>
  <w:rsids>
    <w:rsidRoot w:val="634947AF"/>
    <w:rsid w:val="57B7388C"/>
    <w:rsid w:val="63494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缩进"/>
    <w:basedOn w:val="1"/>
    <w:autoRedefine/>
    <w:qFormat/>
    <w:uiPriority w:val="0"/>
    <w:pPr>
      <w:ind w:firstLine="200" w:firstLineChars="200"/>
    </w:pPr>
  </w:style>
  <w:style w:type="paragraph" w:styleId="5">
    <w:name w:val="List Paragraph"/>
    <w:basedOn w:val="1"/>
    <w:autoRedefine/>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2025-10-31T03:42:00Z</dcterms:created>
  <dc:creator>文zz</dc:creator>
  <cp:lastModifiedBy>文zz</cp:lastModifiedBy>
  <dcterms:modified xsi:type="dcterms:W3CDTF">2025-10-31T03:42:29Z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C2743C0C7A0D48659EFF1D17C6FB4FCC_11</vt:lpwstr>
  </property>
</Properties>
</file>