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简体" w:hAnsi="宋体" w:eastAsia="方正小标宋简体"/>
          <w:color w:val="000000" w:themeColor="text1"/>
          <w:spacing w:val="-2"/>
          <w:sz w:val="44"/>
          <w:szCs w:val="44"/>
          <w14:textFill>
            <w14:solidFill>
              <w14:schemeClr w14:val="tx1"/>
            </w14:solidFill>
          </w14:textFill>
        </w:rPr>
      </w:pPr>
    </w:p>
    <w:p>
      <w:pPr>
        <w:snapToGrid w:val="0"/>
        <w:spacing w:line="600" w:lineRule="exact"/>
        <w:jc w:val="center"/>
        <w:rPr>
          <w:rFonts w:hint="eastAsia" w:ascii="方正小标宋简体" w:hAnsi="宋体" w:eastAsia="方正小标宋简体"/>
          <w:color w:val="000000" w:themeColor="text1"/>
          <w:spacing w:val="-2"/>
          <w:sz w:val="44"/>
          <w:szCs w:val="44"/>
          <w14:textFill>
            <w14:solidFill>
              <w14:schemeClr w14:val="tx1"/>
            </w14:solidFill>
          </w14:textFill>
        </w:rPr>
      </w:pPr>
    </w:p>
    <w:p>
      <w:pPr>
        <w:snapToGrid w:val="0"/>
        <w:spacing w:line="600" w:lineRule="exact"/>
        <w:jc w:val="center"/>
        <w:rPr>
          <w:rFonts w:hint="eastAsia" w:ascii="方正小标宋简体" w:hAnsi="宋体" w:eastAsia="方正小标宋简体"/>
          <w:color w:val="000000" w:themeColor="text1"/>
          <w:spacing w:val="-2"/>
          <w:sz w:val="44"/>
          <w:szCs w:val="44"/>
          <w14:textFill>
            <w14:solidFill>
              <w14:schemeClr w14:val="tx1"/>
            </w14:solidFill>
          </w14:textFill>
        </w:rPr>
      </w:pPr>
    </w:p>
    <w:p>
      <w:pPr>
        <w:snapToGrid w:val="0"/>
        <w:spacing w:line="600" w:lineRule="exact"/>
        <w:jc w:val="center"/>
        <w:rPr>
          <w:rFonts w:hint="eastAsia" w:ascii="创艺简标宋" w:hAnsi="创艺简标宋" w:eastAsia="创艺简标宋" w:cs="创艺简标宋"/>
          <w:color w:val="000000" w:themeColor="text1"/>
          <w:spacing w:val="-2"/>
          <w:sz w:val="44"/>
          <w:szCs w:val="44"/>
          <w14:textFill>
            <w14:solidFill>
              <w14:schemeClr w14:val="tx1"/>
            </w14:solidFill>
          </w14:textFill>
        </w:rPr>
      </w:pPr>
      <w:r>
        <w:rPr>
          <w:rFonts w:hint="eastAsia" w:ascii="创艺简标宋" w:hAnsi="创艺简标宋" w:eastAsia="创艺简标宋" w:cs="创艺简标宋"/>
          <w:color w:val="000000" w:themeColor="text1"/>
          <w:spacing w:val="-2"/>
          <w:sz w:val="44"/>
          <w:szCs w:val="44"/>
          <w14:textFill>
            <w14:solidFill>
              <w14:schemeClr w14:val="tx1"/>
            </w14:solidFill>
          </w14:textFill>
        </w:rPr>
        <w:t>《关于发布森林防火禁火令的通告》起草说明</w:t>
      </w:r>
    </w:p>
    <w:p>
      <w:pPr>
        <w:snapToGrid w:val="0"/>
        <w:spacing w:line="600" w:lineRule="exact"/>
        <w:ind w:firstLine="640" w:firstLineChars="200"/>
        <w:rPr>
          <w:color w:val="000000" w:themeColor="text1"/>
          <w14:textFill>
            <w14:solidFill>
              <w14:schemeClr w14:val="tx1"/>
            </w14:solidFill>
          </w14:textFill>
        </w:rPr>
      </w:pPr>
    </w:p>
    <w:p>
      <w:pPr>
        <w:snapToGrid w:val="0"/>
        <w:spacing w:line="60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为进一步加强当前我区森林防灭火工作，提高全民森林防火责任和意识，切实加大对火源的管控力度，严防重大森林火灾事故发生，特起草《</w:t>
      </w:r>
      <w:r>
        <w:rPr>
          <w:rFonts w:hint="eastAsia" w:ascii="仿宋_GB2312" w:hAnsi="仿宋_GB2312" w:eastAsia="仿宋_GB2312" w:cs="仿宋_GB2312"/>
          <w:color w:val="000000" w:themeColor="text1"/>
          <w:lang w:val="en-US" w:eastAsia="zh-CN"/>
          <w14:textFill>
            <w14:solidFill>
              <w14:schemeClr w14:val="tx1"/>
            </w14:solidFill>
          </w14:textFill>
        </w:rPr>
        <w:t>河源江东新区管理委员会</w:t>
      </w:r>
      <w:r>
        <w:rPr>
          <w:rFonts w:hint="eastAsia" w:ascii="仿宋_GB2312" w:hAnsi="仿宋_GB2312" w:eastAsia="仿宋_GB2312" w:cs="仿宋_GB2312"/>
          <w:color w:val="000000" w:themeColor="text1"/>
          <w14:textFill>
            <w14:solidFill>
              <w14:schemeClr w14:val="tx1"/>
            </w14:solidFill>
          </w14:textFill>
        </w:rPr>
        <w:t>关于发布森林防火禁火令的通告》（以下简称《禁火令》），现就有关情况说明如下：</w:t>
      </w:r>
    </w:p>
    <w:p>
      <w:pPr>
        <w:snapToGrid w:val="0"/>
        <w:spacing w:line="600" w:lineRule="exact"/>
        <w:ind w:firstLine="64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一、文件的制定背景说明</w:t>
      </w:r>
    </w:p>
    <w:p>
      <w:pPr>
        <w:snapToGrid w:val="0"/>
        <w:spacing w:line="600" w:lineRule="exact"/>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近年来，在区</w:t>
      </w:r>
      <w:r>
        <w:rPr>
          <w:rFonts w:hint="eastAsia" w:ascii="仿宋_GB2312" w:hAnsi="仿宋_GB2312" w:eastAsia="仿宋_GB2312" w:cs="仿宋_GB2312"/>
          <w:color w:val="000000" w:themeColor="text1"/>
          <w:lang w:eastAsia="zh-CN"/>
          <w14:textFill>
            <w14:solidFill>
              <w14:schemeClr w14:val="tx1"/>
            </w14:solidFill>
          </w14:textFill>
        </w:rPr>
        <w:t>党</w:t>
      </w:r>
      <w:r>
        <w:rPr>
          <w:rFonts w:hint="eastAsia" w:ascii="仿宋_GB2312" w:hAnsi="仿宋_GB2312" w:eastAsia="仿宋_GB2312" w:cs="仿宋_GB2312"/>
          <w:color w:val="000000" w:themeColor="text1"/>
          <w14:textFill>
            <w14:solidFill>
              <w14:schemeClr w14:val="tx1"/>
            </w14:solidFill>
          </w14:textFill>
        </w:rPr>
        <w:t>委、</w:t>
      </w:r>
      <w:r>
        <w:rPr>
          <w:rFonts w:hint="eastAsia" w:ascii="仿宋_GB2312" w:hAnsi="仿宋_GB2312" w:eastAsia="仿宋_GB2312" w:cs="仿宋_GB2312"/>
          <w:color w:val="000000" w:themeColor="text1"/>
          <w:lang w:eastAsia="zh-CN"/>
          <w14:textFill>
            <w14:solidFill>
              <w14:schemeClr w14:val="tx1"/>
            </w14:solidFill>
          </w14:textFill>
        </w:rPr>
        <w:t>管委会</w:t>
      </w:r>
      <w:r>
        <w:rPr>
          <w:rFonts w:hint="eastAsia" w:ascii="仿宋_GB2312" w:hAnsi="仿宋_GB2312" w:eastAsia="仿宋_GB2312" w:cs="仿宋_GB2312"/>
          <w:color w:val="000000" w:themeColor="text1"/>
          <w14:textFill>
            <w14:solidFill>
              <w14:schemeClr w14:val="tx1"/>
            </w14:solidFill>
          </w14:textFill>
        </w:rPr>
        <w:t>的正确领导下，经过各级部门的共同努力，我区的森林防火工作一直保持了平稳态势，森林火灾的防控水平和应急处置能力不断提高，森林火灾的发生率和受害率呈整体下降的良好趋势。但是，进入森林特别防护期，进山旅游，秋收冬种、祭祀上坟烧纸及林区建设施工等诱发火灾因素增多，森林火灾隐患突出，为加强野外火源管理，切实做好当前森林防火工作，特发布本《禁火令》。</w:t>
      </w:r>
    </w:p>
    <w:p>
      <w:pPr>
        <w:snapToGrid w:val="0"/>
        <w:spacing w:line="600" w:lineRule="exact"/>
        <w:ind w:firstLine="64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二、法律法规政策依据</w:t>
      </w:r>
    </w:p>
    <w:p>
      <w:pPr>
        <w:snapToGrid w:val="0"/>
        <w:spacing w:line="600" w:lineRule="exact"/>
        <w:ind w:firstLine="643" w:firstLineChars="200"/>
        <w:rPr>
          <w:rFonts w:hint="eastAsia" w:ascii="楷体" w:hAnsi="楷体" w:eastAsia="楷体" w:cs="楷体"/>
          <w:b/>
          <w:color w:val="000000" w:themeColor="text1"/>
          <w14:textFill>
            <w14:solidFill>
              <w14:schemeClr w14:val="tx1"/>
            </w14:solidFill>
          </w14:textFill>
        </w:rPr>
      </w:pPr>
      <w:r>
        <w:rPr>
          <w:rFonts w:hint="eastAsia" w:ascii="楷体" w:hAnsi="楷体" w:eastAsia="楷体" w:cs="楷体"/>
          <w:b/>
          <w:color w:val="000000" w:themeColor="text1"/>
          <w14:textFill>
            <w14:solidFill>
              <w14:schemeClr w14:val="tx1"/>
            </w14:solidFill>
          </w14:textFill>
        </w:rPr>
        <w:t>(一)法律、行政法规</w:t>
      </w:r>
    </w:p>
    <w:p>
      <w:pPr>
        <w:snapToGrid w:val="0"/>
        <w:spacing w:line="600" w:lineRule="exact"/>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《中华人民共和国森林法》第三十四条；《森林防火条例》第二十</w:t>
      </w:r>
      <w:r>
        <w:rPr>
          <w:rFonts w:hint="eastAsia" w:ascii="仿宋_GB2312" w:hAnsi="仿宋_GB2312" w:eastAsia="仿宋_GB2312" w:cs="仿宋_GB2312"/>
          <w:color w:val="000000" w:themeColor="text1"/>
          <w:kern w:val="0"/>
          <w:shd w:val="clear" w:color="auto" w:fill="FFFFFF"/>
          <w14:textFill>
            <w14:solidFill>
              <w14:schemeClr w14:val="tx1"/>
            </w14:solidFill>
          </w14:textFill>
        </w:rPr>
        <w:t>二条、第二十三条、第二十七条；</w:t>
      </w:r>
      <w:r>
        <w:rPr>
          <w:rFonts w:hint="eastAsia" w:ascii="仿宋_GB2312" w:hAnsi="仿宋_GB2312" w:eastAsia="仿宋_GB2312" w:cs="仿宋_GB2312"/>
          <w:color w:val="000000" w:themeColor="text1"/>
          <w14:textFill>
            <w14:solidFill>
              <w14:schemeClr w14:val="tx1"/>
            </w14:solidFill>
          </w14:textFill>
        </w:rPr>
        <w:t>《广东省森林防火条例》</w:t>
      </w:r>
      <w:r>
        <w:rPr>
          <w:rFonts w:hint="eastAsia" w:ascii="仿宋_GB2312" w:hAnsi="仿宋_GB2312" w:eastAsia="仿宋_GB2312" w:cs="仿宋_GB2312"/>
          <w:color w:val="000000" w:themeColor="text1"/>
          <w:kern w:val="0"/>
          <w:shd w:val="clear" w:color="auto" w:fill="FFFFFF"/>
          <w14:textFill>
            <w14:solidFill>
              <w14:schemeClr w14:val="tx1"/>
            </w14:solidFill>
          </w14:textFill>
        </w:rPr>
        <w:t>第十二条、</w:t>
      </w:r>
      <w:r>
        <w:rPr>
          <w:rFonts w:hint="eastAsia" w:ascii="仿宋_GB2312" w:hAnsi="仿宋_GB2312" w:eastAsia="仿宋_GB2312" w:cs="仿宋_GB2312"/>
          <w:color w:val="000000" w:themeColor="text1"/>
          <w14:textFill>
            <w14:solidFill>
              <w14:schemeClr w14:val="tx1"/>
            </w14:solidFill>
          </w14:textFill>
        </w:rPr>
        <w:t>第十六条、第十</w:t>
      </w:r>
      <w:bookmarkStart w:id="0" w:name="_GoBack"/>
      <w:bookmarkEnd w:id="0"/>
      <w:r>
        <w:rPr>
          <w:rFonts w:hint="eastAsia" w:ascii="仿宋_GB2312" w:hAnsi="仿宋_GB2312" w:eastAsia="仿宋_GB2312" w:cs="仿宋_GB2312"/>
          <w:color w:val="000000" w:themeColor="text1"/>
          <w14:textFill>
            <w14:solidFill>
              <w14:schemeClr w14:val="tx1"/>
            </w14:solidFill>
          </w14:textFill>
        </w:rPr>
        <w:t>七条、第十二条、第二十四条、</w:t>
      </w:r>
      <w:r>
        <w:rPr>
          <w:rFonts w:hint="eastAsia" w:ascii="仿宋_GB2312" w:hAnsi="仿宋_GB2312" w:eastAsia="仿宋_GB2312" w:cs="仿宋_GB2312"/>
          <w:color w:val="000000" w:themeColor="text1"/>
          <w:kern w:val="0"/>
          <w:shd w:val="clear" w:color="auto" w:fill="FFFFFF"/>
          <w14:textFill>
            <w14:solidFill>
              <w14:schemeClr w14:val="tx1"/>
            </w14:solidFill>
          </w14:textFill>
        </w:rPr>
        <w:t>第二十七条、</w:t>
      </w:r>
      <w:r>
        <w:rPr>
          <w:rFonts w:hint="eastAsia" w:ascii="仿宋_GB2312" w:hAnsi="仿宋_GB2312" w:eastAsia="仿宋_GB2312" w:cs="仿宋_GB2312"/>
          <w:color w:val="000000" w:themeColor="text1"/>
          <w14:textFill>
            <w14:solidFill>
              <w14:schemeClr w14:val="tx1"/>
            </w14:solidFill>
          </w14:textFill>
        </w:rPr>
        <w:t>第二十八条、第四十四条。</w:t>
      </w:r>
    </w:p>
    <w:p>
      <w:pPr>
        <w:snapToGrid w:val="0"/>
        <w:spacing w:line="600" w:lineRule="exact"/>
        <w:ind w:firstLine="643" w:firstLineChars="200"/>
        <w:rPr>
          <w:rFonts w:hint="eastAsia" w:ascii="楷体" w:hAnsi="楷体" w:eastAsia="楷体" w:cs="楷体"/>
          <w:b/>
          <w:color w:val="000000" w:themeColor="text1"/>
          <w14:textFill>
            <w14:solidFill>
              <w14:schemeClr w14:val="tx1"/>
            </w14:solidFill>
          </w14:textFill>
        </w:rPr>
      </w:pPr>
      <w:r>
        <w:rPr>
          <w:rFonts w:hint="eastAsia" w:ascii="楷体" w:hAnsi="楷体" w:eastAsia="楷体" w:cs="楷体"/>
          <w:b/>
          <w:color w:val="000000" w:themeColor="text1"/>
          <w14:textFill>
            <w14:solidFill>
              <w14:schemeClr w14:val="tx1"/>
            </w14:solidFill>
          </w14:textFill>
        </w:rPr>
        <w:t>(二)上级机关规范性文件、政策性文件</w:t>
      </w:r>
    </w:p>
    <w:p>
      <w:pPr>
        <w:snapToGrid w:val="0"/>
        <w:spacing w:line="600" w:lineRule="exact"/>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1、河源市森林防灭火指挥部关于印发《河源市森林防灭火工作职责事项划分意见》通知的第十八条。</w:t>
      </w:r>
    </w:p>
    <w:p>
      <w:pPr>
        <w:snapToGrid w:val="0"/>
        <w:spacing w:line="600" w:lineRule="exact"/>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2、《关于进一步厘清我市森林防灭火工作责任的通知》第二点第一小点。</w:t>
      </w:r>
    </w:p>
    <w:p>
      <w:pPr>
        <w:snapToGrid w:val="0"/>
        <w:spacing w:line="600" w:lineRule="exact"/>
        <w:ind w:firstLine="64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三、文件制定程序和征求意见说明</w:t>
      </w:r>
    </w:p>
    <w:p>
      <w:pPr>
        <w:snapToGrid w:val="0"/>
        <w:spacing w:line="600" w:lineRule="exact"/>
        <w:ind w:firstLine="645"/>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本禁火令由区</w:t>
      </w:r>
      <w:r>
        <w:rPr>
          <w:rFonts w:hint="eastAsia" w:ascii="仿宋_GB2312" w:hAnsi="仿宋_GB2312" w:eastAsia="仿宋_GB2312" w:cs="仿宋_GB2312"/>
          <w:color w:val="000000" w:themeColor="text1"/>
          <w:lang w:val="en-US" w:eastAsia="zh-CN"/>
          <w14:textFill>
            <w14:solidFill>
              <w14:schemeClr w14:val="tx1"/>
            </w14:solidFill>
          </w14:textFill>
        </w:rPr>
        <w:t>农林水务局</w:t>
      </w:r>
      <w:r>
        <w:rPr>
          <w:rFonts w:hint="eastAsia" w:ascii="仿宋_GB2312" w:hAnsi="仿宋_GB2312" w:eastAsia="仿宋_GB2312" w:cs="仿宋_GB2312"/>
          <w:color w:val="000000" w:themeColor="text1"/>
          <w14:textFill>
            <w14:solidFill>
              <w14:schemeClr w14:val="tx1"/>
            </w14:solidFill>
          </w14:textFill>
        </w:rPr>
        <w:t>撰写初稿《</w:t>
      </w:r>
      <w:r>
        <w:rPr>
          <w:rFonts w:hint="eastAsia" w:ascii="仿宋_GB2312" w:hAnsi="仿宋_GB2312" w:eastAsia="仿宋_GB2312" w:cs="仿宋_GB2312"/>
          <w:color w:val="000000" w:themeColor="text1"/>
          <w:lang w:val="en-US" w:eastAsia="zh-CN"/>
          <w14:textFill>
            <w14:solidFill>
              <w14:schemeClr w14:val="tx1"/>
            </w14:solidFill>
          </w14:textFill>
        </w:rPr>
        <w:t>河源江东新区管理委员会</w:t>
      </w:r>
      <w:r>
        <w:rPr>
          <w:rFonts w:hint="eastAsia" w:ascii="仿宋_GB2312" w:hAnsi="仿宋_GB2312" w:eastAsia="仿宋_GB2312" w:cs="仿宋_GB2312"/>
          <w:color w:val="000000" w:themeColor="text1"/>
          <w14:textFill>
            <w14:solidFill>
              <w14:schemeClr w14:val="tx1"/>
            </w14:solidFill>
          </w14:textFill>
        </w:rPr>
        <w:t>关于发布森林防火禁火令的通告》（征求意见稿），先后向各镇(街道）政府（办事处）、区直有关单位及社会公众征求意见，且已履行了部门法制机构规范性文件合法性审核程序及内部领导班子讨论定稿程序。</w:t>
      </w:r>
    </w:p>
    <w:p>
      <w:pPr>
        <w:snapToGrid w:val="0"/>
        <w:spacing w:line="600" w:lineRule="exact"/>
        <w:ind w:firstLine="64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四、主要内容说明</w:t>
      </w:r>
    </w:p>
    <w:p>
      <w:pPr>
        <w:snapToGrid w:val="0"/>
        <w:spacing w:line="600" w:lineRule="exact"/>
        <w:ind w:firstLine="660"/>
        <w:rPr>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《禁火令》共分五条内容，依据相关法律法规，结合当前</w:t>
      </w:r>
      <w:r>
        <w:rPr>
          <w:rFonts w:hint="eastAsia" w:ascii="仿宋_GB2312" w:hAnsi="仿宋_GB2312" w:eastAsia="仿宋_GB2312" w:cs="仿宋_GB2312"/>
          <w:color w:val="000000" w:themeColor="text1"/>
          <w:lang w:val="en-US" w:eastAsia="zh-CN"/>
          <w14:textFill>
            <w14:solidFill>
              <w14:schemeClr w14:val="tx1"/>
            </w14:solidFill>
          </w14:textFill>
        </w:rPr>
        <w:t>河源江东新区</w:t>
      </w:r>
      <w:r>
        <w:rPr>
          <w:rFonts w:hint="eastAsia" w:ascii="仿宋_GB2312" w:hAnsi="仿宋_GB2312" w:eastAsia="仿宋_GB2312" w:cs="仿宋_GB2312"/>
          <w:color w:val="000000" w:themeColor="text1"/>
          <w14:textFill>
            <w14:solidFill>
              <w14:schemeClr w14:val="tx1"/>
            </w14:solidFill>
          </w14:textFill>
        </w:rPr>
        <w:t>森林防火工作实际，分别对禁火</w:t>
      </w:r>
      <w:r>
        <w:rPr>
          <w:rFonts w:hint="eastAsia" w:ascii="仿宋_GB2312" w:hAnsi="仿宋_GB2312" w:eastAsia="仿宋_GB2312" w:cs="仿宋_GB2312"/>
          <w:color w:val="000000" w:themeColor="text1"/>
          <w:lang w:eastAsia="zh-CN"/>
          <w14:textFill>
            <w14:solidFill>
              <w14:schemeClr w14:val="tx1"/>
            </w14:solidFill>
          </w14:textFill>
        </w:rPr>
        <w:t>时间</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eastAsia="zh-CN"/>
          <w14:textFill>
            <w14:solidFill>
              <w14:schemeClr w14:val="tx1"/>
            </w14:solidFill>
          </w14:textFill>
        </w:rPr>
        <w:t>禁火</w:t>
      </w:r>
      <w:r>
        <w:rPr>
          <w:rFonts w:hint="eastAsia" w:ascii="仿宋_GB2312" w:hAnsi="仿宋_GB2312" w:eastAsia="仿宋_GB2312" w:cs="仿宋_GB2312"/>
          <w:color w:val="000000" w:themeColor="text1"/>
          <w14:textFill>
            <w14:solidFill>
              <w14:schemeClr w14:val="tx1"/>
            </w14:solidFill>
          </w14:textFill>
        </w:rPr>
        <w:t>区划定、禁火规定、责任追究处理、火情报告义务等内容进行了明确。</w:t>
      </w:r>
    </w:p>
    <w:p>
      <w:pPr>
        <w:snapToGrid w:val="0"/>
        <w:spacing w:line="600" w:lineRule="exact"/>
        <w:ind w:firstLine="640" w:firstLineChars="200"/>
        <w:rPr>
          <w:rFonts w:cs="宋体" w:asciiTheme="minorEastAsia" w:hAnsiTheme="minorEastAsia"/>
          <w:color w:val="000000"/>
          <w:sz w:val="30"/>
          <w:szCs w:val="30"/>
        </w:rPr>
      </w:pPr>
      <w:r>
        <w:rPr>
          <w:rFonts w:ascii="黑体" w:hAnsi="黑体" w:eastAsia="黑体"/>
          <w:color w:val="000000" w:themeColor="text1"/>
          <w14:textFill>
            <w14:solidFill>
              <w14:schemeClr w14:val="tx1"/>
            </w14:solidFill>
          </w14:textFill>
        </w:rPr>
        <w:t>五、部门法制工作机构审核意见</w:t>
      </w:r>
    </w:p>
    <w:p>
      <w:pPr>
        <w:snapToGrid w:val="0"/>
        <w:spacing w:line="600" w:lineRule="exact"/>
        <w:ind w:firstLine="64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themeColor="text1"/>
          <w14:textFill>
            <w14:solidFill>
              <w14:schemeClr w14:val="tx1"/>
            </w14:solidFill>
          </w14:textFill>
        </w:rPr>
        <w:t>经本级法制部门审查文件制定主体、制定权限、制定程序和内容合法合规。</w:t>
      </w:r>
    </w:p>
    <w:p>
      <w:pPr>
        <w:snapToGrid w:val="0"/>
        <w:spacing w:line="600" w:lineRule="exact"/>
        <w:ind w:firstLine="640" w:firstLineChars="200"/>
        <w:rPr>
          <w:rFonts w:ascii="宋体" w:hAnsi="宋体" w:cs="宋体"/>
          <w:b/>
          <w:color w:val="000000"/>
        </w:rPr>
      </w:pPr>
      <w:r>
        <w:rPr>
          <w:rFonts w:ascii="黑体" w:hAnsi="黑体" w:eastAsia="黑体"/>
          <w:color w:val="000000" w:themeColor="text1"/>
          <w14:textFill>
            <w14:solidFill>
              <w14:schemeClr w14:val="tx1"/>
            </w14:solidFill>
          </w14:textFill>
        </w:rPr>
        <w:t>六、行政系统内征求意见的采纳情况说明</w:t>
      </w:r>
    </w:p>
    <w:p>
      <w:pPr>
        <w:snapToGrid w:val="0"/>
        <w:spacing w:line="600" w:lineRule="exact"/>
        <w:ind w:firstLine="640" w:firstLineChars="200"/>
        <w:rPr>
          <w:rFonts w:ascii="宋体" w:hAnsi="宋体" w:cs="宋体"/>
          <w:color w:val="000000"/>
          <w:sz w:val="30"/>
          <w:szCs w:val="30"/>
        </w:rPr>
      </w:pPr>
      <w:r>
        <w:rPr>
          <w:rFonts w:hint="eastAsia" w:ascii="仿宋_GB2312" w:hAnsi="仿宋_GB2312" w:eastAsia="仿宋_GB2312" w:cs="仿宋_GB2312"/>
          <w:color w:val="000000" w:themeColor="text1"/>
          <w14:textFill>
            <w14:solidFill>
              <w14:schemeClr w14:val="tx1"/>
            </w14:solidFill>
          </w14:textFill>
        </w:rPr>
        <w:t>该规范性文件参考了原禁火令内容，由区</w:t>
      </w:r>
      <w:r>
        <w:rPr>
          <w:rFonts w:hint="eastAsia" w:ascii="仿宋_GB2312" w:hAnsi="仿宋_GB2312" w:eastAsia="仿宋_GB2312" w:cs="仿宋_GB2312"/>
          <w:color w:val="000000" w:themeColor="text1"/>
          <w:lang w:val="en-US" w:eastAsia="zh-CN"/>
          <w14:textFill>
            <w14:solidFill>
              <w14:schemeClr w14:val="tx1"/>
            </w14:solidFill>
          </w14:textFill>
        </w:rPr>
        <w:t>农林水务局</w:t>
      </w:r>
      <w:r>
        <w:rPr>
          <w:rFonts w:hint="eastAsia" w:ascii="仿宋_GB2312" w:hAnsi="仿宋_GB2312" w:eastAsia="仿宋_GB2312" w:cs="仿宋_GB2312"/>
          <w:color w:val="000000" w:themeColor="text1"/>
          <w14:textFill>
            <w14:solidFill>
              <w14:schemeClr w14:val="tx1"/>
            </w14:solidFill>
          </w14:textFill>
        </w:rPr>
        <w:t>工作人员起草，征求了各镇人民政府、街道办事处、区森林防灭火指挥部成员单位等单位建议，并向社会公开征求意见。</w:t>
      </w:r>
    </w:p>
    <w:p>
      <w:pPr>
        <w:snapToGrid w:val="0"/>
        <w:spacing w:line="600" w:lineRule="exact"/>
        <w:ind w:firstLine="640" w:firstLineChars="200"/>
        <w:rPr>
          <w:rFonts w:ascii="宋体" w:hAnsi="宋体" w:cs="宋体"/>
          <w:b/>
          <w:color w:val="000000"/>
        </w:rPr>
      </w:pPr>
      <w:r>
        <w:rPr>
          <w:rFonts w:ascii="黑体" w:hAnsi="黑体" w:eastAsia="黑体"/>
          <w:color w:val="000000" w:themeColor="text1"/>
          <w14:textFill>
            <w14:solidFill>
              <w14:schemeClr w14:val="tx1"/>
            </w14:solidFill>
          </w14:textFill>
        </w:rPr>
        <w:t>七、公开征求意见的采纳情况说明</w:t>
      </w:r>
    </w:p>
    <w:p>
      <w:pPr>
        <w:snapToGrid w:val="0"/>
        <w:spacing w:line="600" w:lineRule="exact"/>
        <w:ind w:firstLine="640" w:firstLineChars="200"/>
        <w:rPr>
          <w:rFonts w:hint="eastAsia" w:ascii="仿宋_GB2312" w:hAnsi="仿宋_GB2312" w:eastAsia="仿宋_GB2312" w:cs="仿宋_GB2312"/>
          <w:color w:val="000000" w:themeColor="text1"/>
          <w:spacing w:val="-24"/>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征求意见中，各方对制定《禁火令》给予了充分肯定，普遍认为，制定《禁火令》非常必要、非常及时，对于我区森林防火工作具有十分重要的意义。同时，各方面就如何完善《禁火令》内容，结合各自工作提出了宝贵的修改意见，这些意见基本上予以采纳和吸收。</w:t>
      </w:r>
    </w:p>
    <w:sectPr>
      <w:footerReference r:id="rId3" w:type="default"/>
      <w:pgSz w:w="11906" w:h="16838"/>
      <w:pgMar w:top="1531"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E91B8D-A24C-49D5-AF2F-2A6A4BAE71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粗仿宋简">
    <w:panose1 w:val="02010600000101010101"/>
    <w:charset w:val="86"/>
    <w:family w:val="auto"/>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3EDD5690-682D-45D4-9F3F-2453F555A3BD}"/>
  </w:font>
  <w:font w:name="创艺简标宋">
    <w:panose1 w:val="00000000000000000000"/>
    <w:charset w:val="80"/>
    <w:family w:val="auto"/>
    <w:pitch w:val="default"/>
    <w:sig w:usb0="00000283" w:usb1="180F1C10" w:usb2="00000016" w:usb3="00000000" w:csb0="40020001" w:csb1="C0D60000"/>
    <w:embedRegular r:id="rId3" w:fontKey="{D7E76FCC-6DCC-49D1-ACEE-4AC0BAA83290}"/>
  </w:font>
  <w:font w:name="仿宋_GB2312">
    <w:panose1 w:val="02010609030101010101"/>
    <w:charset w:val="86"/>
    <w:family w:val="auto"/>
    <w:pitch w:val="default"/>
    <w:sig w:usb0="00000001" w:usb1="080E0000" w:usb2="00000000" w:usb3="00000000" w:csb0="00040000" w:csb1="00000000"/>
    <w:embedRegular r:id="rId4" w:fontKey="{C933712E-9415-436D-BACB-E9058C982F14}"/>
  </w:font>
  <w:font w:name="楷体">
    <w:panose1 w:val="02010609060101010101"/>
    <w:charset w:val="86"/>
    <w:family w:val="auto"/>
    <w:pitch w:val="default"/>
    <w:sig w:usb0="800002BF" w:usb1="38CF7CFA" w:usb2="00000016" w:usb3="00000000" w:csb0="00040001" w:csb1="00000000"/>
    <w:embedRegular r:id="rId5" w:fontKey="{334598EC-4114-427E-B48C-CCCB9B3A79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9723162"/>
      <w:docPartObj>
        <w:docPartGallery w:val="autotext"/>
      </w:docPartObj>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OTcwZjliMDU4NDc2OTIyZDIyMGFhNDZkOGJlNzUifQ=="/>
  </w:docVars>
  <w:rsids>
    <w:rsidRoot w:val="00AC502D"/>
    <w:rsid w:val="0000763F"/>
    <w:rsid w:val="00013DBC"/>
    <w:rsid w:val="0009203A"/>
    <w:rsid w:val="000D7DEB"/>
    <w:rsid w:val="00106D2F"/>
    <w:rsid w:val="00131F30"/>
    <w:rsid w:val="00140B85"/>
    <w:rsid w:val="00171C4F"/>
    <w:rsid w:val="00184302"/>
    <w:rsid w:val="00194C4F"/>
    <w:rsid w:val="00197869"/>
    <w:rsid w:val="001A030B"/>
    <w:rsid w:val="001C096B"/>
    <w:rsid w:val="001C3935"/>
    <w:rsid w:val="001F7C40"/>
    <w:rsid w:val="00200343"/>
    <w:rsid w:val="00206155"/>
    <w:rsid w:val="0022762C"/>
    <w:rsid w:val="00237404"/>
    <w:rsid w:val="00246189"/>
    <w:rsid w:val="00250F34"/>
    <w:rsid w:val="00280E6D"/>
    <w:rsid w:val="002B25B2"/>
    <w:rsid w:val="00323382"/>
    <w:rsid w:val="00347F64"/>
    <w:rsid w:val="00357F58"/>
    <w:rsid w:val="003C3BBE"/>
    <w:rsid w:val="003D79C1"/>
    <w:rsid w:val="003D7DA0"/>
    <w:rsid w:val="00412CA1"/>
    <w:rsid w:val="004406B5"/>
    <w:rsid w:val="00455985"/>
    <w:rsid w:val="004B124A"/>
    <w:rsid w:val="004C19B9"/>
    <w:rsid w:val="004E557F"/>
    <w:rsid w:val="00533498"/>
    <w:rsid w:val="00575B37"/>
    <w:rsid w:val="005773B8"/>
    <w:rsid w:val="00581A4F"/>
    <w:rsid w:val="00584514"/>
    <w:rsid w:val="00595DF4"/>
    <w:rsid w:val="005A2B47"/>
    <w:rsid w:val="005D359D"/>
    <w:rsid w:val="00657842"/>
    <w:rsid w:val="00666866"/>
    <w:rsid w:val="00691067"/>
    <w:rsid w:val="006C5126"/>
    <w:rsid w:val="007002E5"/>
    <w:rsid w:val="00701D7C"/>
    <w:rsid w:val="007569FB"/>
    <w:rsid w:val="00765ABB"/>
    <w:rsid w:val="0077555D"/>
    <w:rsid w:val="00790EBE"/>
    <w:rsid w:val="007F6E84"/>
    <w:rsid w:val="008050DE"/>
    <w:rsid w:val="00877363"/>
    <w:rsid w:val="008D4C3C"/>
    <w:rsid w:val="008E2DD2"/>
    <w:rsid w:val="008F1F4D"/>
    <w:rsid w:val="009300B1"/>
    <w:rsid w:val="00973193"/>
    <w:rsid w:val="00991009"/>
    <w:rsid w:val="009A1B58"/>
    <w:rsid w:val="009A46EA"/>
    <w:rsid w:val="009B54AC"/>
    <w:rsid w:val="009D56BC"/>
    <w:rsid w:val="00A25618"/>
    <w:rsid w:val="00A30E32"/>
    <w:rsid w:val="00A45427"/>
    <w:rsid w:val="00A6413F"/>
    <w:rsid w:val="00A91B52"/>
    <w:rsid w:val="00AC502D"/>
    <w:rsid w:val="00B231D2"/>
    <w:rsid w:val="00C10079"/>
    <w:rsid w:val="00C23271"/>
    <w:rsid w:val="00C46561"/>
    <w:rsid w:val="00C5129D"/>
    <w:rsid w:val="00C63C0F"/>
    <w:rsid w:val="00C944A0"/>
    <w:rsid w:val="00CC2D38"/>
    <w:rsid w:val="00D01021"/>
    <w:rsid w:val="00D52440"/>
    <w:rsid w:val="00D73BE0"/>
    <w:rsid w:val="00D82D02"/>
    <w:rsid w:val="00D866CF"/>
    <w:rsid w:val="00D93EF1"/>
    <w:rsid w:val="00DA61BC"/>
    <w:rsid w:val="00DF6C22"/>
    <w:rsid w:val="00E04A0D"/>
    <w:rsid w:val="00E1792A"/>
    <w:rsid w:val="00E705B9"/>
    <w:rsid w:val="00E87BAA"/>
    <w:rsid w:val="00EC0945"/>
    <w:rsid w:val="00EF7C6F"/>
    <w:rsid w:val="00F06A19"/>
    <w:rsid w:val="00F14EDA"/>
    <w:rsid w:val="00F72AFA"/>
    <w:rsid w:val="00F75788"/>
    <w:rsid w:val="00FA474D"/>
    <w:rsid w:val="02841759"/>
    <w:rsid w:val="0AAC23F6"/>
    <w:rsid w:val="2C0A337E"/>
    <w:rsid w:val="60713C27"/>
    <w:rsid w:val="7ABC362D"/>
    <w:rsid w:val="7E3F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仿宋" w:hAnsi="仿宋" w:eastAsia="仿宋"/>
      <w:kern w:val="2"/>
      <w:sz w:val="18"/>
      <w:szCs w:val="18"/>
    </w:rPr>
  </w:style>
  <w:style w:type="character" w:customStyle="1" w:styleId="8">
    <w:name w:val="页脚 Char"/>
    <w:basedOn w:val="6"/>
    <w:link w:val="3"/>
    <w:autoRedefine/>
    <w:qFormat/>
    <w:uiPriority w:val="99"/>
    <w:rPr>
      <w:rFonts w:ascii="仿宋" w:hAnsi="仿宋" w:eastAsia="仿宋"/>
      <w:kern w:val="2"/>
      <w:sz w:val="18"/>
      <w:szCs w:val="18"/>
    </w:rPr>
  </w:style>
  <w:style w:type="character" w:customStyle="1" w:styleId="9">
    <w:name w:val="NormalCharacter"/>
    <w:autoRedefine/>
    <w:semiHidden/>
    <w:qFormat/>
    <w:uiPriority w:val="0"/>
  </w:style>
  <w:style w:type="character" w:customStyle="1" w:styleId="10">
    <w:name w:val="批注框文本 Char"/>
    <w:basedOn w:val="6"/>
    <w:link w:val="2"/>
    <w:autoRedefine/>
    <w:qFormat/>
    <w:uiPriority w:val="0"/>
    <w:rPr>
      <w:rFonts w:ascii="仿宋" w:hAnsi="仿宋" w:eastAsia="仿宋"/>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1032</Words>
  <Characters>1032</Characters>
  <Lines>8</Lines>
  <Paragraphs>2</Paragraphs>
  <TotalTime>28</TotalTime>
  <ScaleCrop>false</ScaleCrop>
  <LinksUpToDate>false</LinksUpToDate>
  <CharactersWithSpaces>1032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2023-09-26T08:28:00Z</dcterms:created>
  <dc:creator>防火办</dc:creator>
  <cp:lastModifiedBy>文zz</cp:lastModifiedBy>
  <cp:lastPrinted>2024-09-13T07:14:00Z</cp:lastPrinted>
  <dcterms:modified xsi:type="dcterms:W3CDTF">2025-08-12T03:27:43Z</dcterms:modified>
  <dc:title>关于《源城区人民政府关于划定森林防火区和发布森林防火禁火令的通告》规范性文件起草说明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C0626B2C5DF7424B8BF745E1A031B26F_13</vt:lpwstr>
  </property>
  <property fmtid="{D5CDD505-2E9C-101B-9397-08002B2CF9AE}" pid="4" name="KSOTemplateDocerSaveRecord">
    <vt:lpwstr>eyJoZGlkIjoiMTJjYTg0Y2VkYmM2ZDA3YjBhMTk4OTI2ZTlhMDVjMWIiLCJ1c2VySWQiOiI0MTQ0OTQ4MjMifQ==</vt:lpwstr>
  </property>
</Properties>
</file>